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678B4" w:rsidRDefault="009A7F7B">
      <w:pPr>
        <w:spacing w:before="120" w:after="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Viernes, 16 de octubre de 2026</w:t>
      </w:r>
    </w:p>
    <w:p w14:paraId="00000002" w14:textId="77777777" w:rsidR="002678B4" w:rsidRDefault="009A7F7B">
      <w:pPr>
        <w:spacing w:before="12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3" w14:textId="77777777" w:rsidR="002678B4" w:rsidRDefault="009A7F7B">
      <w:pPr>
        <w:spacing w:before="12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RECOMENDACIONES</w:t>
      </w:r>
    </w:p>
    <w:p w14:paraId="00000004" w14:textId="77777777" w:rsidR="002678B4" w:rsidRDefault="009A7F7B">
      <w:pPr>
        <w:spacing w:before="12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5" w14:textId="77777777" w:rsidR="002678B4" w:rsidRDefault="009A7F7B">
      <w:pPr>
        <w:spacing w:before="12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PARLAMENTO EUROPEO</w:t>
      </w:r>
    </w:p>
    <w:p w14:paraId="00000006" w14:textId="77777777" w:rsidR="002678B4" w:rsidRDefault="009A7F7B">
      <w:pPr>
        <w:spacing w:before="12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7" w14:textId="77777777" w:rsidR="002678B4" w:rsidRDefault="009A7F7B">
      <w:pPr>
        <w:spacing w:before="12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Recomendación del Parlamento Europeo, de 16 de octubre de 2026, al Consejo, a la Comisión y a la Vicepresidenta de la Comisión / Alta Representante de la Unión para Asuntos Exteriores y Política de Seguridad, sobre el refuerzo de la Seguridad y Defensa de </w:t>
      </w:r>
      <w:r>
        <w:rPr>
          <w:rFonts w:ascii="Times New Roman" w:eastAsia="Times New Roman" w:hAnsi="Times New Roman" w:cs="Times New Roman"/>
          <w:b/>
          <w:bCs/>
          <w:sz w:val="24"/>
          <w:szCs w:val="24"/>
        </w:rPr>
        <w:t>la Unión Europea</w:t>
      </w:r>
    </w:p>
    <w:p w14:paraId="00000008" w14:textId="77777777" w:rsidR="002678B4" w:rsidRDefault="009A7F7B">
      <w:pPr>
        <w:spacing w:before="12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(2026/01)</w:t>
      </w:r>
    </w:p>
    <w:p w14:paraId="00000009" w14:textId="77777777" w:rsidR="002678B4" w:rsidRDefault="009A7F7B">
      <w:pPr>
        <w:spacing w:before="12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El Parlamento Europeo:</w:t>
      </w:r>
    </w:p>
    <w:p w14:paraId="0000000A" w14:textId="77777777" w:rsidR="002678B4" w:rsidRDefault="009A7F7B">
      <w:pPr>
        <w:numPr>
          <w:ilvl w:val="0"/>
          <w:numId w:val="1"/>
        </w:numPr>
        <w:spacing w:before="120"/>
        <w:jc w:val="both"/>
      </w:pPr>
      <w:r>
        <w:rPr>
          <w:rFonts w:ascii="Times New Roman" w:eastAsia="Times New Roman" w:hAnsi="Times New Roman" w:cs="Times New Roman"/>
          <w:sz w:val="24"/>
          <w:szCs w:val="24"/>
        </w:rPr>
        <w:t>Visto el Tratado de la Unión Europea (TUE), y en particular sus artículos 21, 24, 42 y 43, relativos a la acción exterior de la Unión, la política exterior y de seguridad común y la política común de seguri</w:t>
      </w:r>
      <w:r>
        <w:rPr>
          <w:rFonts w:ascii="Times New Roman" w:eastAsia="Times New Roman" w:hAnsi="Times New Roman" w:cs="Times New Roman"/>
          <w:sz w:val="24"/>
          <w:szCs w:val="24"/>
        </w:rPr>
        <w:t>dad y defensa,</w:t>
      </w:r>
    </w:p>
    <w:p w14:paraId="0000000B" w14:textId="77777777" w:rsidR="002678B4" w:rsidRDefault="009A7F7B">
      <w:pPr>
        <w:numPr>
          <w:ilvl w:val="0"/>
          <w:numId w:val="1"/>
        </w:numPr>
        <w:jc w:val="both"/>
      </w:pPr>
      <w:r>
        <w:rPr>
          <w:rFonts w:ascii="Times New Roman" w:eastAsia="Times New Roman" w:hAnsi="Times New Roman" w:cs="Times New Roman"/>
          <w:sz w:val="24"/>
          <w:szCs w:val="24"/>
        </w:rPr>
        <w:t>Vistos los artículos 222 y 346 del Tratado de Funcionamiento de la Unión Europea (TFUE), relativos a la cláusula de solidaridad y a determinados intereses esenciales de seguridad de los Estados miembros,</w:t>
      </w:r>
    </w:p>
    <w:p w14:paraId="0000000C" w14:textId="77777777" w:rsidR="002678B4" w:rsidRDefault="009A7F7B">
      <w:pPr>
        <w:numPr>
          <w:ilvl w:val="0"/>
          <w:numId w:val="1"/>
        </w:numPr>
        <w:jc w:val="both"/>
      </w:pPr>
      <w:r>
        <w:rPr>
          <w:rFonts w:ascii="Times New Roman" w:eastAsia="Times New Roman" w:hAnsi="Times New Roman" w:cs="Times New Roman"/>
          <w:sz w:val="24"/>
          <w:szCs w:val="24"/>
        </w:rPr>
        <w:t xml:space="preserve"> Vista la Carta de los Derechos Funda</w:t>
      </w:r>
      <w:r>
        <w:rPr>
          <w:rFonts w:ascii="Times New Roman" w:eastAsia="Times New Roman" w:hAnsi="Times New Roman" w:cs="Times New Roman"/>
          <w:sz w:val="24"/>
          <w:szCs w:val="24"/>
        </w:rPr>
        <w:t>mentales de la Unión Europea, y en particular sus artículos 7, 8 y 47, relativos al respeto de la vida privada, la protección de los datos personales y el derecho a la tutela judicial efectiva,</w:t>
      </w:r>
    </w:p>
    <w:p w14:paraId="0000000D" w14:textId="77777777" w:rsidR="002678B4" w:rsidRDefault="009A7F7B">
      <w:pPr>
        <w:numPr>
          <w:ilvl w:val="0"/>
          <w:numId w:val="1"/>
        </w:numPr>
        <w:jc w:val="both"/>
      </w:pPr>
      <w:r>
        <w:rPr>
          <w:rFonts w:ascii="Times New Roman" w:eastAsia="Times New Roman" w:hAnsi="Times New Roman" w:cs="Times New Roman"/>
          <w:sz w:val="24"/>
          <w:szCs w:val="24"/>
        </w:rPr>
        <w:t xml:space="preserve"> Vista la Brújula Estratégica para la Seguridad y la Defensa, </w:t>
      </w:r>
      <w:r>
        <w:rPr>
          <w:rFonts w:ascii="Times New Roman" w:eastAsia="Times New Roman" w:hAnsi="Times New Roman" w:cs="Times New Roman"/>
          <w:sz w:val="24"/>
          <w:szCs w:val="24"/>
        </w:rPr>
        <w:t>aprobada por el Consejo de la Unión Europea el 21 de marzo de 2022,</w:t>
      </w:r>
    </w:p>
    <w:p w14:paraId="0000000E" w14:textId="77777777" w:rsidR="002678B4" w:rsidRDefault="009A7F7B">
      <w:pPr>
        <w:numPr>
          <w:ilvl w:val="0"/>
          <w:numId w:val="1"/>
        </w:numPr>
        <w:jc w:val="both"/>
      </w:pPr>
      <w:r>
        <w:rPr>
          <w:rFonts w:ascii="Times New Roman" w:eastAsia="Times New Roman" w:hAnsi="Times New Roman" w:cs="Times New Roman"/>
          <w:sz w:val="24"/>
          <w:szCs w:val="24"/>
        </w:rPr>
        <w:t xml:space="preserve"> Visto el Libro Blanco conjunto sobre la preparación de la defensa europea para 2030 (White Paper for European Defence – Readiness 2030), presentado por la Comisión Europea y la alta repre</w:t>
      </w:r>
      <w:r>
        <w:rPr>
          <w:rFonts w:ascii="Times New Roman" w:eastAsia="Times New Roman" w:hAnsi="Times New Roman" w:cs="Times New Roman"/>
          <w:sz w:val="24"/>
          <w:szCs w:val="24"/>
        </w:rPr>
        <w:t>sentante de la Unión para Asuntos Exteriores y Política de Seguridad el 19 de marzo de 2025,</w:t>
      </w:r>
    </w:p>
    <w:p w14:paraId="0000000F" w14:textId="77777777" w:rsidR="002678B4" w:rsidRDefault="009A7F7B">
      <w:pPr>
        <w:numPr>
          <w:ilvl w:val="0"/>
          <w:numId w:val="1"/>
        </w:numPr>
        <w:jc w:val="both"/>
      </w:pPr>
      <w:r>
        <w:rPr>
          <w:rFonts w:ascii="Times New Roman" w:eastAsia="Times New Roman" w:hAnsi="Times New Roman" w:cs="Times New Roman"/>
          <w:sz w:val="24"/>
          <w:szCs w:val="24"/>
        </w:rPr>
        <w:t>Visto el Reglamento (UE) 2025/1106 del Consejo, de 27 de mayo de 2025, por el que se establece la Acción de Seguridad para Europa (SAFE) mediante el refuerzo de la</w:t>
      </w:r>
      <w:r>
        <w:rPr>
          <w:rFonts w:ascii="Times New Roman" w:eastAsia="Times New Roman" w:hAnsi="Times New Roman" w:cs="Times New Roman"/>
          <w:sz w:val="24"/>
          <w:szCs w:val="24"/>
        </w:rPr>
        <w:t xml:space="preserve"> industria europea de defensa,</w:t>
      </w:r>
    </w:p>
    <w:p w14:paraId="00000010" w14:textId="77777777" w:rsidR="002678B4" w:rsidRDefault="009A7F7B">
      <w:pPr>
        <w:numPr>
          <w:ilvl w:val="0"/>
          <w:numId w:val="1"/>
        </w:numPr>
        <w:jc w:val="both"/>
      </w:pPr>
      <w:r>
        <w:rPr>
          <w:rFonts w:ascii="Times New Roman" w:eastAsia="Times New Roman" w:hAnsi="Times New Roman" w:cs="Times New Roman"/>
          <w:sz w:val="24"/>
          <w:szCs w:val="24"/>
        </w:rPr>
        <w:t>Vista la Hoja de Ruta para la Preparación de la Defensa 2030, presentada por la Comisión Europea y la alta representante de la Unión en octubre de 2025,</w:t>
      </w:r>
    </w:p>
    <w:p w14:paraId="00000011" w14:textId="77777777" w:rsidR="002678B4" w:rsidRDefault="009A7F7B">
      <w:pPr>
        <w:numPr>
          <w:ilvl w:val="0"/>
          <w:numId w:val="1"/>
        </w:numPr>
        <w:jc w:val="both"/>
      </w:pPr>
      <w:r>
        <w:rPr>
          <w:rFonts w:ascii="Times New Roman" w:eastAsia="Times New Roman" w:hAnsi="Times New Roman" w:cs="Times New Roman"/>
          <w:sz w:val="24"/>
          <w:szCs w:val="24"/>
        </w:rPr>
        <w:t>Vistas las Conclusiones del Consejo Europeo de 23 de octubre de 2025 sob</w:t>
      </w:r>
      <w:r>
        <w:rPr>
          <w:rFonts w:ascii="Times New Roman" w:eastAsia="Times New Roman" w:hAnsi="Times New Roman" w:cs="Times New Roman"/>
          <w:sz w:val="24"/>
          <w:szCs w:val="24"/>
        </w:rPr>
        <w:t>re la seguridad y la defensa europeas,</w:t>
      </w:r>
    </w:p>
    <w:p w14:paraId="00000012" w14:textId="77777777" w:rsidR="002678B4" w:rsidRDefault="009A7F7B">
      <w:pPr>
        <w:numPr>
          <w:ilvl w:val="0"/>
          <w:numId w:val="1"/>
        </w:numPr>
        <w:jc w:val="both"/>
      </w:pPr>
      <w:r>
        <w:rPr>
          <w:rFonts w:ascii="Times New Roman" w:eastAsia="Times New Roman" w:hAnsi="Times New Roman" w:cs="Times New Roman"/>
          <w:sz w:val="24"/>
          <w:szCs w:val="24"/>
        </w:rPr>
        <w:t>Vistas las iniciativas de la Unión relativas al refuerzo de la movilidad militar, el desarrollo de la industria europea de defensa, la innovación tecnológica y la cooperación en materia de adquisición de capacidades m</w:t>
      </w:r>
      <w:r>
        <w:rPr>
          <w:rFonts w:ascii="Times New Roman" w:eastAsia="Times New Roman" w:hAnsi="Times New Roman" w:cs="Times New Roman"/>
          <w:sz w:val="24"/>
          <w:szCs w:val="24"/>
        </w:rPr>
        <w:t>ilitares,</w:t>
      </w:r>
    </w:p>
    <w:p w14:paraId="00000013" w14:textId="77777777" w:rsidR="002678B4" w:rsidRDefault="009A7F7B">
      <w:pPr>
        <w:numPr>
          <w:ilvl w:val="0"/>
          <w:numId w:val="1"/>
        </w:numPr>
        <w:jc w:val="both"/>
      </w:pPr>
      <w:r>
        <w:rPr>
          <w:rFonts w:ascii="Times New Roman" w:eastAsia="Times New Roman" w:hAnsi="Times New Roman" w:cs="Times New Roman"/>
          <w:sz w:val="24"/>
          <w:szCs w:val="24"/>
        </w:rPr>
        <w:t>Vistas las resoluciones pertinentes del Consejo de Seguridad de las Naciones Unidas sobre el mantenimiento de la paz y la seguridad internacionales, así como la Carta de las Naciones Unidas y los principios del Derecho internacional humanitario.</w:t>
      </w:r>
    </w:p>
    <w:p w14:paraId="00000014" w14:textId="77777777" w:rsidR="002678B4" w:rsidRDefault="009A7F7B">
      <w:pPr>
        <w:numPr>
          <w:ilvl w:val="0"/>
          <w:numId w:val="1"/>
        </w:numPr>
        <w:spacing w:before="200"/>
        <w:jc w:val="both"/>
      </w:pPr>
      <w:r>
        <w:rPr>
          <w:rFonts w:ascii="Times New Roman" w:eastAsia="Times New Roman" w:hAnsi="Times New Roman" w:cs="Times New Roman"/>
          <w:sz w:val="24"/>
          <w:szCs w:val="24"/>
        </w:rPr>
        <w:lastRenderedPageBreak/>
        <w:t>Vista la cooperación entre la Unión Europea y la Organización del Tratado del Atlántico Norte (OTAN), basada en la complementariedad, la coordinación y el respeto de las competencias y obligaciones respectivas,</w:t>
      </w:r>
    </w:p>
    <w:p w14:paraId="00000015" w14:textId="77777777" w:rsidR="002678B4" w:rsidRDefault="009A7F7B">
      <w:pPr>
        <w:numPr>
          <w:ilvl w:val="0"/>
          <w:numId w:val="1"/>
        </w:numPr>
        <w:jc w:val="both"/>
      </w:pPr>
      <w:r>
        <w:rPr>
          <w:rFonts w:ascii="Times New Roman" w:eastAsia="Times New Roman" w:hAnsi="Times New Roman" w:cs="Times New Roman"/>
          <w:sz w:val="24"/>
          <w:szCs w:val="24"/>
        </w:rPr>
        <w:t xml:space="preserve"> Vistos los riesgos derivados de los conflict</w:t>
      </w:r>
      <w:r>
        <w:rPr>
          <w:rFonts w:ascii="Times New Roman" w:eastAsia="Times New Roman" w:hAnsi="Times New Roman" w:cs="Times New Roman"/>
          <w:sz w:val="24"/>
          <w:szCs w:val="24"/>
        </w:rPr>
        <w:t>os bélicos, las amenazas híbridas, los ciberataques, los actos de sabotaje, la desinformación y las amenazas contra las infraestructuras críticas europeas,</w:t>
      </w:r>
    </w:p>
    <w:p w14:paraId="00000016" w14:textId="77777777" w:rsidR="002678B4" w:rsidRDefault="009A7F7B">
      <w:pPr>
        <w:numPr>
          <w:ilvl w:val="0"/>
          <w:numId w:val="1"/>
        </w:numPr>
        <w:jc w:val="both"/>
      </w:pPr>
      <w:r>
        <w:rPr>
          <w:rFonts w:ascii="Times New Roman" w:eastAsia="Times New Roman" w:hAnsi="Times New Roman" w:cs="Times New Roman"/>
          <w:sz w:val="24"/>
          <w:szCs w:val="24"/>
        </w:rPr>
        <w:t>Vistos los avances tecnológicos en inteligencia artificial, sistemas autónomos, capacidades espacial</w:t>
      </w:r>
      <w:r>
        <w:rPr>
          <w:rFonts w:ascii="Times New Roman" w:eastAsia="Times New Roman" w:hAnsi="Times New Roman" w:cs="Times New Roman"/>
          <w:sz w:val="24"/>
          <w:szCs w:val="24"/>
        </w:rPr>
        <w:t>es, tecnologías cuánticas y sistemas aéreos no tripulados, así como sus implicaciones para la seguridad y la defensa,</w:t>
      </w:r>
    </w:p>
    <w:p w14:paraId="00000017"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Considerando que la seguridad de la Unión Europea constituye una condición indispensable para la protección de sus ciudadanos, el funcionamiento de sus instituciones democráticas, la estabilidad de su economía y la defensa de sus valores fundamental</w:t>
      </w:r>
      <w:r>
        <w:rPr>
          <w:rFonts w:ascii="Times New Roman" w:eastAsia="Times New Roman" w:hAnsi="Times New Roman" w:cs="Times New Roman"/>
          <w:sz w:val="24"/>
          <w:szCs w:val="24"/>
        </w:rPr>
        <w:t>es;</w:t>
      </w:r>
    </w:p>
    <w:p w14:paraId="00000019"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A"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Considerando que el contexto geopolítico europeo se ha deteriorado como consecuencia de los conflictos armados activos a escala internacional, de la inestabilidad en las regiones vecinas y de la creciente competencia estratégica entre las prin</w:t>
      </w:r>
      <w:r>
        <w:rPr>
          <w:rFonts w:ascii="Times New Roman" w:eastAsia="Times New Roman" w:hAnsi="Times New Roman" w:cs="Times New Roman"/>
          <w:sz w:val="24"/>
          <w:szCs w:val="24"/>
        </w:rPr>
        <w:t>cipales potencias mundiales;</w:t>
      </w:r>
    </w:p>
    <w:p w14:paraId="0000001B"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C"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Considerando que la Unión debe reforzar su capacidad para prevenir conflictos, disuadir amenazas, gestionar crisis y responder de manera coordinada a situaciones que pongan en peligro su seguridad, sin perjuicio de las</w:t>
      </w:r>
      <w:r>
        <w:rPr>
          <w:rFonts w:ascii="Times New Roman" w:eastAsia="Times New Roman" w:hAnsi="Times New Roman" w:cs="Times New Roman"/>
          <w:sz w:val="24"/>
          <w:szCs w:val="24"/>
        </w:rPr>
        <w:t xml:space="preserve"> competencias de los Estados miembros en materia de defensa nacional;</w:t>
      </w:r>
    </w:p>
    <w:p w14:paraId="0000001D"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Considerando que la defensa europea continúa dependiendo en determinados ámbitos de capacidades, suministros, tecnologías y cadenas de producción procedentes de terceros países,</w:t>
      </w:r>
      <w:r>
        <w:rPr>
          <w:rFonts w:ascii="Times New Roman" w:eastAsia="Times New Roman" w:hAnsi="Times New Roman" w:cs="Times New Roman"/>
          <w:sz w:val="24"/>
          <w:szCs w:val="24"/>
        </w:rPr>
        <w:t xml:space="preserve"> lo que puede limitar la autonomía de actuación de la Unión en situaciones de crisis;</w:t>
      </w:r>
    </w:p>
    <w:p w14:paraId="0000001F"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Considerando que el Libro Blanco sobre la preparación de la defensa europea para 2030 y la iniciativa SAFE constituyen instrumentos relevantes para aumentar la i</w:t>
      </w:r>
      <w:r>
        <w:rPr>
          <w:rFonts w:ascii="Times New Roman" w:eastAsia="Times New Roman" w:hAnsi="Times New Roman" w:cs="Times New Roman"/>
          <w:sz w:val="24"/>
          <w:szCs w:val="24"/>
        </w:rPr>
        <w:t>nversión, fortalecer la base tecnológica e industrial europea de defensa y promover la adquisición conjunta de equipos y capacidades militares;</w:t>
      </w:r>
    </w:p>
    <w:p w14:paraId="00000021"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2"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Considerando que las amenazas contra la seguridad europea ya no se limitan a las operaciones militares </w:t>
      </w:r>
      <w:r>
        <w:rPr>
          <w:rFonts w:ascii="Times New Roman" w:eastAsia="Times New Roman" w:hAnsi="Times New Roman" w:cs="Times New Roman"/>
          <w:sz w:val="24"/>
          <w:szCs w:val="24"/>
        </w:rPr>
        <w:t>convencionales, sino que incluyen ciberataques, sabotajes, interferencias en sistemas de navegación, campañas de desinformación, instrumentalización de dependencias económicas y ataques contra infraestructuras energéticas, digitales y de transporte;</w:t>
      </w:r>
    </w:p>
    <w:p w14:paraId="00000023"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r>
        <w:rPr>
          <w:rFonts w:ascii="Times New Roman" w:eastAsia="Times New Roman" w:hAnsi="Times New Roman" w:cs="Times New Roman"/>
          <w:sz w:val="24"/>
          <w:szCs w:val="24"/>
        </w:rPr>
        <w:t xml:space="preserve">  Considerando que la inteligencia artificial, los drones, los sistemas autónomos, las tecnologías espaciales y las capacidades de ciberguerra están transformando las </w:t>
      </w:r>
      <w:r>
        <w:rPr>
          <w:rFonts w:ascii="Times New Roman" w:eastAsia="Times New Roman" w:hAnsi="Times New Roman" w:cs="Times New Roman"/>
          <w:sz w:val="24"/>
          <w:szCs w:val="24"/>
        </w:rPr>
        <w:lastRenderedPageBreak/>
        <w:t>operaciones militares y hacen necesario acelerar la investigación, la innovación, la form</w:t>
      </w:r>
      <w:r>
        <w:rPr>
          <w:rFonts w:ascii="Times New Roman" w:eastAsia="Times New Roman" w:hAnsi="Times New Roman" w:cs="Times New Roman"/>
          <w:sz w:val="24"/>
          <w:szCs w:val="24"/>
        </w:rPr>
        <w:t>ación especializada y la adaptación de las doctrinas de defensa;</w:t>
      </w:r>
    </w:p>
    <w:p w14:paraId="00000025"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6" w14:textId="77777777" w:rsidR="002678B4" w:rsidRDefault="009A7F7B">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Considerando que el fortalecimiento de las capacidades de defensa debe respetar los derechos fundamentales, el Estado de Derecho, el control democrático, el Derecho internacional humanitario y los principios de necesidad, proporcionalidad y rendició</w:t>
      </w:r>
      <w:r>
        <w:rPr>
          <w:rFonts w:ascii="Times New Roman" w:eastAsia="Times New Roman" w:hAnsi="Times New Roman" w:cs="Times New Roman"/>
          <w:sz w:val="24"/>
          <w:szCs w:val="24"/>
        </w:rPr>
        <w:t>n de cuentas;</w:t>
      </w:r>
    </w:p>
    <w:p w14:paraId="00000027" w14:textId="77777777" w:rsidR="002678B4" w:rsidRDefault="009A7F7B">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77777777" w:rsidR="002678B4" w:rsidRDefault="009A7F7B">
      <w:pPr>
        <w:spacing w:after="60"/>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Considerando que el refuerzo de la seguridad europea exige una cooperación estructurada entre los Estados miembros;</w:t>
      </w:r>
    </w:p>
    <w:p w14:paraId="00000029" w14:textId="77777777" w:rsidR="002678B4" w:rsidRDefault="009A7F7B">
      <w:pPr>
        <w:spacing w:before="120" w:after="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A" w14:textId="77777777" w:rsidR="002678B4" w:rsidRDefault="009A7F7B">
      <w:pPr>
        <w:spacing w:before="120" w:after="60"/>
        <w:rPr>
          <w:b/>
          <w:bCs/>
          <w:sz w:val="34"/>
          <w:szCs w:val="34"/>
        </w:rPr>
      </w:pPr>
      <w:r>
        <w:rPr>
          <w:rFonts w:ascii="Times New Roman" w:eastAsia="Times New Roman" w:hAnsi="Times New Roman" w:cs="Times New Roman"/>
          <w:sz w:val="24"/>
          <w:szCs w:val="24"/>
        </w:rPr>
        <w:t>Formula las siguientes recomendaciones:</w:t>
      </w:r>
    </w:p>
    <w:p w14:paraId="0000002B" w14:textId="77777777" w:rsidR="002678B4" w:rsidRDefault="002678B4">
      <w:pPr>
        <w:spacing w:before="240" w:after="240"/>
        <w:jc w:val="center"/>
        <w:rPr>
          <w:rFonts w:ascii="Times New Roman" w:eastAsia="Times New Roman" w:hAnsi="Times New Roman" w:cs="Times New Roman"/>
          <w:b/>
          <w:bCs/>
          <w:sz w:val="34"/>
          <w:szCs w:val="34"/>
        </w:rPr>
      </w:pPr>
    </w:p>
    <w:p w14:paraId="0000002C" w14:textId="77777777" w:rsidR="002678B4" w:rsidRDefault="009A7F7B">
      <w:pPr>
        <w:numPr>
          <w:ilvl w:val="0"/>
          <w:numId w:val="2"/>
        </w:numPr>
        <w:spacing w:before="240"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a los Estados miembros y a la Comisión que adopten planes plurianuales que identifiquen las carencias prioritarias de capacidades y la contribución de cada Estado miembro, e impulsen la contratación conjunta de munición, defensa aérea, drones, comunicacio</w:t>
      </w:r>
      <w:r>
        <w:rPr>
          <w:rFonts w:ascii="Times New Roman" w:eastAsia="Times New Roman" w:hAnsi="Times New Roman" w:cs="Times New Roman"/>
          <w:sz w:val="24"/>
          <w:szCs w:val="24"/>
        </w:rPr>
        <w:t>nes seguras y transporte estratégico, tomando como base el instrumento SAFE.</w:t>
      </w:r>
    </w:p>
    <w:p w14:paraId="0000002D" w14:textId="77777777" w:rsidR="002678B4" w:rsidRDefault="009A7F7B">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Aboga </w:t>
      </w:r>
      <w:r>
        <w:rPr>
          <w:rFonts w:ascii="Times New Roman" w:eastAsia="Times New Roman" w:hAnsi="Times New Roman" w:cs="Times New Roman"/>
          <w:sz w:val="24"/>
          <w:szCs w:val="24"/>
        </w:rPr>
        <w:t>por apoyar las reservas estratégicas y reforzar la capacidad de la base industrial de defensa europea para incrementar la producción en situaciones de crisis.</w:t>
      </w:r>
    </w:p>
    <w:p w14:paraId="0000002E" w14:textId="77777777" w:rsidR="002678B4" w:rsidRDefault="009A7F7B">
      <w:pPr>
        <w:numPr>
          <w:ilvl w:val="0"/>
          <w:numId w:val="2"/>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Respalda </w:t>
      </w:r>
      <w:r>
        <w:rPr>
          <w:rFonts w:ascii="Times New Roman" w:eastAsia="Times New Roman" w:hAnsi="Times New Roman" w:cs="Times New Roman"/>
          <w:sz w:val="24"/>
          <w:szCs w:val="24"/>
        </w:rPr>
        <w:t>proye</w:t>
      </w:r>
      <w:r>
        <w:rPr>
          <w:rFonts w:ascii="Times New Roman" w:eastAsia="Times New Roman" w:hAnsi="Times New Roman" w:cs="Times New Roman"/>
          <w:sz w:val="24"/>
          <w:szCs w:val="24"/>
        </w:rPr>
        <w:t>ctos de cooperación industrial como la corbeta europea, que reducen costes, mejoran la eficiencia, favorecen la especialización y evitan que varios Estados desarrollen por separado un mismo sistema, y pide que se promueva la participación de pymes, univers</w:t>
      </w:r>
      <w:r>
        <w:rPr>
          <w:rFonts w:ascii="Times New Roman" w:eastAsia="Times New Roman" w:hAnsi="Times New Roman" w:cs="Times New Roman"/>
          <w:sz w:val="24"/>
          <w:szCs w:val="24"/>
        </w:rPr>
        <w:t>idades y centros de investigación, en particular a través del programa AGILE y de la investigación de doble uso.</w:t>
      </w:r>
    </w:p>
    <w:p w14:paraId="0000002F"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Solicita </w:t>
      </w:r>
      <w:r>
        <w:rPr>
          <w:rFonts w:ascii="Times New Roman" w:eastAsia="Times New Roman" w:hAnsi="Times New Roman" w:cs="Times New Roman"/>
          <w:sz w:val="24"/>
          <w:szCs w:val="24"/>
        </w:rPr>
        <w:t>a la Comisión que, con pleno respeto de la información clasificada, establezca un marco común de seguimiento y evaluación de las inver</w:t>
      </w:r>
      <w:r>
        <w:rPr>
          <w:rFonts w:ascii="Times New Roman" w:eastAsia="Times New Roman" w:hAnsi="Times New Roman" w:cs="Times New Roman"/>
          <w:sz w:val="24"/>
          <w:szCs w:val="24"/>
        </w:rPr>
        <w:t>siones europeas en seguridad y defensa, que incluya objetivos públicos y verificables, indicadores de costes, plazos y ejecución, auditorías periódicas, detección de duplicidades y planes correctivos ante desviaciones significativas. A su vez recomienda qu</w:t>
      </w:r>
      <w:r>
        <w:rPr>
          <w:rFonts w:ascii="Times New Roman" w:eastAsia="Times New Roman" w:hAnsi="Times New Roman" w:cs="Times New Roman"/>
          <w:sz w:val="24"/>
          <w:szCs w:val="24"/>
        </w:rPr>
        <w:t>e la gestión de dicho marco corresponda a la Comisión y al Banco Europeo de Inversiones (BEI), con publicación de resultados agregados y rendición de cuentas ante las instituciones europeas y la ciudadanía.</w:t>
      </w:r>
    </w:p>
    <w:p w14:paraId="00000030"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Subraya </w:t>
      </w:r>
      <w:r>
        <w:rPr>
          <w:rFonts w:ascii="Times New Roman" w:eastAsia="Times New Roman" w:hAnsi="Times New Roman" w:cs="Times New Roman"/>
          <w:sz w:val="24"/>
          <w:szCs w:val="24"/>
        </w:rPr>
        <w:t>que toda inversión europea en defensa deb</w:t>
      </w:r>
      <w:r>
        <w:rPr>
          <w:rFonts w:ascii="Times New Roman" w:eastAsia="Times New Roman" w:hAnsi="Times New Roman" w:cs="Times New Roman"/>
          <w:sz w:val="24"/>
          <w:szCs w:val="24"/>
        </w:rPr>
        <w:t>e incorporar objetivos verificables de interoperabilidad, compras conjuntas, auditoría del gasto y retorno industrial europeo, así como criterios sociales y medioambientales.</w:t>
      </w:r>
    </w:p>
    <w:p w14:paraId="00000031"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Aboga </w:t>
      </w:r>
      <w:r>
        <w:rPr>
          <w:rFonts w:ascii="Times New Roman" w:eastAsia="Times New Roman" w:hAnsi="Times New Roman" w:cs="Times New Roman"/>
          <w:sz w:val="24"/>
          <w:szCs w:val="24"/>
        </w:rPr>
        <w:t>por aplicar la preferencia europea cuando exista una alternativa europea, c</w:t>
      </w:r>
      <w:r>
        <w:rPr>
          <w:rFonts w:ascii="Times New Roman" w:eastAsia="Times New Roman" w:hAnsi="Times New Roman" w:cs="Times New Roman"/>
          <w:sz w:val="24"/>
          <w:szCs w:val="24"/>
        </w:rPr>
        <w:t xml:space="preserve">on excepciones justificadas para socios fiables como el Reino Unido, Noruega o los </w:t>
      </w:r>
      <w:r>
        <w:rPr>
          <w:rFonts w:ascii="Times New Roman" w:eastAsia="Times New Roman" w:hAnsi="Times New Roman" w:cs="Times New Roman"/>
          <w:sz w:val="24"/>
          <w:szCs w:val="24"/>
        </w:rPr>
        <w:lastRenderedPageBreak/>
        <w:t>Estados Unidos, y por desarrollar asociaciones a medida que reduzcan la dependencia de proveedores únicos, junto con una autonomía tecnológica que garantice la protección de</w:t>
      </w:r>
      <w:r>
        <w:rPr>
          <w:rFonts w:ascii="Times New Roman" w:eastAsia="Times New Roman" w:hAnsi="Times New Roman" w:cs="Times New Roman"/>
          <w:sz w:val="24"/>
          <w:szCs w:val="24"/>
        </w:rPr>
        <w:t xml:space="preserve"> datos, el control humano, la trazabilidad y la supervisión democrática.</w:t>
      </w:r>
    </w:p>
    <w:p w14:paraId="00000032"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Reconoce </w:t>
      </w:r>
      <w:r>
        <w:rPr>
          <w:rFonts w:ascii="Times New Roman" w:eastAsia="Times New Roman" w:hAnsi="Times New Roman" w:cs="Times New Roman"/>
          <w:sz w:val="24"/>
          <w:szCs w:val="24"/>
        </w:rPr>
        <w:t>que la OTAN es un pilar esencial de la defensa de numerosos Estados miembros, y pide alinear estándares y planificación sin duplicar estructuras, mejorar el intercambio de in</w:t>
      </w:r>
      <w:r>
        <w:rPr>
          <w:rFonts w:ascii="Times New Roman" w:eastAsia="Times New Roman" w:hAnsi="Times New Roman" w:cs="Times New Roman"/>
          <w:sz w:val="24"/>
          <w:szCs w:val="24"/>
        </w:rPr>
        <w:t>formación, la ciberdefensa y los ejercicios conjuntos, y cooperar con aliados no pertenecientes a la Unión cuando sea compatible con la seguridad de los Estados miembros.</w:t>
      </w:r>
    </w:p>
    <w:p w14:paraId="00000033"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Insta </w:t>
      </w:r>
      <w:r>
        <w:rPr>
          <w:rFonts w:ascii="Times New Roman" w:eastAsia="Times New Roman" w:hAnsi="Times New Roman" w:cs="Times New Roman"/>
          <w:sz w:val="24"/>
          <w:szCs w:val="24"/>
        </w:rPr>
        <w:t>a preparar con antelación los mecanismos de consulta y asistencia mutua del art</w:t>
      </w:r>
      <w:r>
        <w:rPr>
          <w:rFonts w:ascii="Times New Roman" w:eastAsia="Times New Roman" w:hAnsi="Times New Roman" w:cs="Times New Roman"/>
          <w:sz w:val="24"/>
          <w:szCs w:val="24"/>
        </w:rPr>
        <w:t>ículo 42, apartado 7, del TUE.</w:t>
      </w:r>
    </w:p>
    <w:p w14:paraId="00000034"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Pide </w:t>
      </w:r>
      <w:r>
        <w:rPr>
          <w:rFonts w:ascii="Times New Roman" w:eastAsia="Times New Roman" w:hAnsi="Times New Roman" w:cs="Times New Roman"/>
          <w:sz w:val="24"/>
          <w:szCs w:val="24"/>
        </w:rPr>
        <w:t>que se alcance la implementación del Espacio Europeo de Movilidad Militar antes de 2027, con procedimientos transfronterizos más ágiles, infraestructuras adaptadas (puentes y ferrocarriles capaces de soportar cargas mili</w:t>
      </w:r>
      <w:r>
        <w:rPr>
          <w:rFonts w:ascii="Times New Roman" w:eastAsia="Times New Roman" w:hAnsi="Times New Roman" w:cs="Times New Roman"/>
          <w:sz w:val="24"/>
          <w:szCs w:val="24"/>
        </w:rPr>
        <w:t>tares), coordinación logística y eliminación de obstáculos al movimiento de equipos, atendiendo a las conclusiones del informe especial del Tribunal de Cuentas Europeo de 2025, y apoya la simplificación administrativa del paquete Ómnibus siempre que no eli</w:t>
      </w:r>
      <w:r>
        <w:rPr>
          <w:rFonts w:ascii="Times New Roman" w:eastAsia="Times New Roman" w:hAnsi="Times New Roman" w:cs="Times New Roman"/>
          <w:sz w:val="24"/>
          <w:szCs w:val="24"/>
        </w:rPr>
        <w:t>mine controles esenciales ni comprometa las garantías ambientales y presupuestarias.</w:t>
      </w:r>
    </w:p>
    <w:p w14:paraId="00000035"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Propone </w:t>
      </w:r>
      <w:r>
        <w:rPr>
          <w:rFonts w:ascii="Times New Roman" w:eastAsia="Times New Roman" w:hAnsi="Times New Roman" w:cs="Times New Roman"/>
          <w:sz w:val="24"/>
          <w:szCs w:val="24"/>
        </w:rPr>
        <w:t>avanzar progresivamente hacia un marco único de cooperación operativa (calendario de ejercicios multinacionales, inventario compartido de capacidades, protocolos c</w:t>
      </w:r>
      <w:r>
        <w:rPr>
          <w:rFonts w:ascii="Times New Roman" w:eastAsia="Times New Roman" w:hAnsi="Times New Roman" w:cs="Times New Roman"/>
          <w:sz w:val="24"/>
          <w:szCs w:val="24"/>
        </w:rPr>
        <w:t>omunes de logística y comunicaciones), con decisiones de despliegue conformes con los Tratados y sin cesión de soberanía; refuerza la protección de las infraestructuras críticas frente a amenazas híbridas y de zona gris y la defensa frente a la desinformac</w:t>
      </w:r>
      <w:r>
        <w:rPr>
          <w:rFonts w:ascii="Times New Roman" w:eastAsia="Times New Roman" w:hAnsi="Times New Roman" w:cs="Times New Roman"/>
          <w:sz w:val="24"/>
          <w:szCs w:val="24"/>
        </w:rPr>
        <w:t>ión extranjera; y promueve las energías renovables generadas en la Unión para evitar la dependencia de Rusia, destinando a objetivos sociales y medioambientales una parte de la dotación existente, sin incrementar el gasto total.</w:t>
      </w:r>
    </w:p>
    <w:p w14:paraId="00000036"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Subraya </w:t>
      </w:r>
      <w:r>
        <w:rPr>
          <w:rFonts w:ascii="Times New Roman" w:eastAsia="Times New Roman" w:hAnsi="Times New Roman" w:cs="Times New Roman"/>
          <w:sz w:val="24"/>
          <w:szCs w:val="24"/>
        </w:rPr>
        <w:t>que toda iniciativa</w:t>
      </w:r>
      <w:r>
        <w:rPr>
          <w:rFonts w:ascii="Times New Roman" w:eastAsia="Times New Roman" w:hAnsi="Times New Roman" w:cs="Times New Roman"/>
          <w:sz w:val="24"/>
          <w:szCs w:val="24"/>
        </w:rPr>
        <w:t xml:space="preserve"> deberá respetar tres líneas rojas: </w:t>
      </w:r>
    </w:p>
    <w:p w14:paraId="00000037" w14:textId="77777777"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no debilitar a la OTAN ni el artículo 5; </w:t>
      </w:r>
    </w:p>
    <w:p w14:paraId="00000038" w14:textId="77777777"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no ceder competencias fuera de los Tratados; no financiar sin condicionalidad;</w:t>
      </w:r>
    </w:p>
    <w:p w14:paraId="5E7D0492" w14:textId="1B91C537" w:rsidR="008720D4" w:rsidRDefault="009A7F7B" w:rsidP="008720D4">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y no utilizar la inteligencia artificial para decidir el uso de la fuerza letal sin co</w:t>
      </w:r>
      <w:r>
        <w:rPr>
          <w:rFonts w:ascii="Times New Roman" w:eastAsia="Times New Roman" w:hAnsi="Times New Roman" w:cs="Times New Roman"/>
          <w:sz w:val="24"/>
          <w:szCs w:val="24"/>
        </w:rPr>
        <w:t>ntrol humano; y pide a la Comisión y a los Estados miembros que dispongan de un plan de contingencia.</w:t>
      </w:r>
    </w:p>
    <w:p w14:paraId="42479B55" w14:textId="643C76CD" w:rsidR="008720D4" w:rsidRDefault="008720D4" w:rsidP="008720D4">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reafirma que la seguridad nacional y la defensa son y seguirán siendo competencia exclusiva e inalienable de los Estados miembros, de conformidad con el principio de atribución consagrado en el artículo 4, apartado 2, y el artículo 5 del Tratado de la Unión Europea.</w:t>
      </w:r>
    </w:p>
    <w:p w14:paraId="0000003A" w14:textId="77777777" w:rsidR="002678B4" w:rsidRDefault="009A7F7B">
      <w:pPr>
        <w:pBdr>
          <w:top w:val="nil"/>
          <w:left w:val="nil"/>
          <w:bottom w:val="nil"/>
          <w:right w:val="nil"/>
          <w:between w:val="nil"/>
        </w:pBdr>
        <w:spacing w:before="240" w:after="240"/>
        <w:jc w:val="center"/>
        <w:rPr>
          <w:rFonts w:ascii="Times New Roman" w:eastAsia="Times New Roman" w:hAnsi="Times New Roman" w:cs="Times New Roman"/>
          <w:b/>
          <w:bCs/>
          <w:sz w:val="30"/>
          <w:szCs w:val="30"/>
        </w:rPr>
      </w:pPr>
      <w:r>
        <w:br w:type="page"/>
      </w:r>
    </w:p>
    <w:p w14:paraId="0000003B" w14:textId="77777777" w:rsidR="002678B4" w:rsidRDefault="002678B4">
      <w:pPr>
        <w:pBdr>
          <w:top w:val="nil"/>
          <w:left w:val="nil"/>
          <w:bottom w:val="nil"/>
          <w:right w:val="nil"/>
          <w:between w:val="nil"/>
        </w:pBdr>
        <w:spacing w:before="240" w:after="240"/>
        <w:rPr>
          <w:rFonts w:ascii="Times New Roman" w:eastAsia="Times New Roman" w:hAnsi="Times New Roman" w:cs="Times New Roman"/>
          <w:sz w:val="24"/>
          <w:szCs w:val="24"/>
        </w:rPr>
      </w:pPr>
    </w:p>
    <w:p w14:paraId="0000003C"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Subraya </w:t>
      </w:r>
      <w:r>
        <w:rPr>
          <w:rFonts w:ascii="Times New Roman" w:eastAsia="Times New Roman" w:hAnsi="Times New Roman" w:cs="Times New Roman"/>
          <w:sz w:val="24"/>
          <w:szCs w:val="24"/>
        </w:rPr>
        <w:t>que el apoyo del Instrumento SAFE debe articularse exclusivamente mediante préstamos a largo plazo vinculados a un umbral mínimo del 65 % de componentes de la UE, Ucrania o el EEE y a la compra conjunta, garantizando que estos desembolsos no supongan en ni</w:t>
      </w:r>
      <w:r>
        <w:rPr>
          <w:rFonts w:ascii="Times New Roman" w:eastAsia="Times New Roman" w:hAnsi="Times New Roman" w:cs="Times New Roman"/>
          <w:sz w:val="24"/>
          <w:szCs w:val="24"/>
        </w:rPr>
        <w:t xml:space="preserve">ngún caso recortes en las partidas del Estado del bienestar; </w:t>
      </w:r>
    </w:p>
    <w:p w14:paraId="0000003D"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Insta </w:t>
      </w:r>
      <w:r>
        <w:rPr>
          <w:rFonts w:ascii="Times New Roman" w:eastAsia="Times New Roman" w:hAnsi="Times New Roman" w:cs="Times New Roman"/>
          <w:sz w:val="24"/>
          <w:szCs w:val="24"/>
        </w:rPr>
        <w:t>a la Comisión Europea a canalizar todas las propuestas mediante el procedimiento legislativo ordinario con arreglo al artículo 294 del TFUE, garantizando el control parlamentario y evitand</w:t>
      </w:r>
      <w:r>
        <w:rPr>
          <w:rFonts w:ascii="Times New Roman" w:eastAsia="Times New Roman" w:hAnsi="Times New Roman" w:cs="Times New Roman"/>
          <w:sz w:val="24"/>
          <w:szCs w:val="24"/>
        </w:rPr>
        <w:t xml:space="preserve">o el recurso indebido al artículo 122 del TFUE reservado a emergencias; </w:t>
      </w:r>
    </w:p>
    <w:p w14:paraId="0000003E"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Pide </w:t>
      </w:r>
      <w:r>
        <w:rPr>
          <w:rFonts w:ascii="Times New Roman" w:eastAsia="Times New Roman" w:hAnsi="Times New Roman" w:cs="Times New Roman"/>
          <w:sz w:val="24"/>
          <w:szCs w:val="24"/>
        </w:rPr>
        <w:t>la modificación temporal del artículo 2.2 del Reglamento (UE) 2024/1263 para incorporar una cláusula de salvaguardia que excluya el gasto en defensa del cómputo del «gasto neto»,</w:t>
      </w:r>
      <w:r>
        <w:rPr>
          <w:rFonts w:ascii="Times New Roman" w:eastAsia="Times New Roman" w:hAnsi="Times New Roman" w:cs="Times New Roman"/>
          <w:sz w:val="24"/>
          <w:szCs w:val="24"/>
        </w:rPr>
        <w:t xml:space="preserve"> facilitando un incremento responsable y coordinado de hasta el 4 % del PIB; </w:t>
      </w:r>
    </w:p>
    <w:p w14:paraId="0000003F" w14:textId="55FC21A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Alienta </w:t>
      </w:r>
      <w:r>
        <w:rPr>
          <w:rFonts w:ascii="Times New Roman" w:eastAsia="Times New Roman" w:hAnsi="Times New Roman" w:cs="Times New Roman"/>
          <w:sz w:val="24"/>
          <w:szCs w:val="24"/>
        </w:rPr>
        <w:t>al Banco Europeo de Inversiones a reforzar la financiación en defensa y tecnologías de doble uso, exigiendo auditorías preceptivas al capital privado para impedir cualquier flujo de fondos vinculado a regímenes autoritarios</w:t>
      </w:r>
      <w:r w:rsidR="00DD0C62">
        <w:rPr>
          <w:rFonts w:ascii="Times New Roman" w:eastAsia="Times New Roman" w:hAnsi="Times New Roman" w:cs="Times New Roman"/>
          <w:sz w:val="24"/>
          <w:szCs w:val="24"/>
        </w:rPr>
        <w:t xml:space="preserve"> y el estado de Israel</w:t>
      </w:r>
      <w:r>
        <w:rPr>
          <w:rFonts w:ascii="Times New Roman" w:eastAsia="Times New Roman" w:hAnsi="Times New Roman" w:cs="Times New Roman"/>
          <w:sz w:val="24"/>
          <w:szCs w:val="24"/>
        </w:rPr>
        <w:t xml:space="preserve">; </w:t>
      </w:r>
    </w:p>
    <w:p w14:paraId="00000040"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Exige </w:t>
      </w:r>
      <w:r>
        <w:rPr>
          <w:rFonts w:ascii="Times New Roman" w:eastAsia="Times New Roman" w:hAnsi="Times New Roman" w:cs="Times New Roman"/>
          <w:sz w:val="24"/>
          <w:szCs w:val="24"/>
        </w:rPr>
        <w:t>un reparto territorial e</w:t>
      </w:r>
      <w:r>
        <w:rPr>
          <w:rFonts w:ascii="Times New Roman" w:eastAsia="Times New Roman" w:hAnsi="Times New Roman" w:cs="Times New Roman"/>
          <w:sz w:val="24"/>
          <w:szCs w:val="24"/>
        </w:rPr>
        <w:t xml:space="preserve">quilibrado y cohesionado de las inversiones industriales y de desarrollo militar, evitando la concentración asimétrica de capacidades y fondos en un grupo reducido de Estados miembros; </w:t>
      </w:r>
    </w:p>
    <w:p w14:paraId="00000041"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Reclama </w:t>
      </w:r>
      <w:r>
        <w:rPr>
          <w:rFonts w:ascii="Times New Roman" w:eastAsia="Times New Roman" w:hAnsi="Times New Roman" w:cs="Times New Roman"/>
          <w:sz w:val="24"/>
          <w:szCs w:val="24"/>
        </w:rPr>
        <w:t>la fijación de cuotas mínimas vinculantes de participación par</w:t>
      </w:r>
      <w:r>
        <w:rPr>
          <w:rFonts w:ascii="Times New Roman" w:eastAsia="Times New Roman" w:hAnsi="Times New Roman" w:cs="Times New Roman"/>
          <w:sz w:val="24"/>
          <w:szCs w:val="24"/>
        </w:rPr>
        <w:t>a pequeñas y medianas empresas (pymes) y centros de investigación dentro de los consorcios beneficiarios de los programas de innovación en defensa;</w:t>
      </w:r>
    </w:p>
    <w:p w14:paraId="00000042"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Propone </w:t>
      </w:r>
      <w:r>
        <w:rPr>
          <w:rFonts w:ascii="Times New Roman" w:eastAsia="Times New Roman" w:hAnsi="Times New Roman" w:cs="Times New Roman"/>
          <w:sz w:val="24"/>
          <w:szCs w:val="24"/>
        </w:rPr>
        <w:t>evaluar una capacidad de endeudamiento mancomunado de hasta el 1 % del PIB de la Unión, tomando como</w:t>
      </w:r>
      <w:r>
        <w:rPr>
          <w:rFonts w:ascii="Times New Roman" w:eastAsia="Times New Roman" w:hAnsi="Times New Roman" w:cs="Times New Roman"/>
          <w:sz w:val="24"/>
          <w:szCs w:val="24"/>
        </w:rPr>
        <w:t xml:space="preserve"> referencia los instrumentos financieros extraordinarios post pandemia para financiar bienes públicos en seguridad; </w:t>
      </w:r>
    </w:p>
    <w:p w14:paraId="00000043"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Reitera </w:t>
      </w:r>
      <w:r>
        <w:rPr>
          <w:rFonts w:ascii="Times New Roman" w:eastAsia="Times New Roman" w:hAnsi="Times New Roman" w:cs="Times New Roman"/>
          <w:sz w:val="24"/>
          <w:szCs w:val="24"/>
        </w:rPr>
        <w:t>su rechazo frontal a una mutualización generalizada o permanente de la deuda soberana, limitando cualquier emisión a herramientas e</w:t>
      </w:r>
      <w:r>
        <w:rPr>
          <w:rFonts w:ascii="Times New Roman" w:eastAsia="Times New Roman" w:hAnsi="Times New Roman" w:cs="Times New Roman"/>
          <w:sz w:val="24"/>
          <w:szCs w:val="24"/>
        </w:rPr>
        <w:t xml:space="preserve">strictamente temporales, finalistas y sujetas a una sólida rendición de cuentas. </w:t>
      </w:r>
    </w:p>
    <w:p w14:paraId="00000044" w14:textId="77777777" w:rsidR="002678B4" w:rsidRDefault="009A7F7B">
      <w:pPr>
        <w:pBdr>
          <w:top w:val="nil"/>
          <w:left w:val="nil"/>
          <w:bottom w:val="nil"/>
          <w:right w:val="nil"/>
          <w:between w:val="nil"/>
        </w:pBdr>
        <w:spacing w:before="240" w:after="240"/>
        <w:jc w:val="center"/>
        <w:rPr>
          <w:rFonts w:ascii="Times New Roman" w:eastAsia="Times New Roman" w:hAnsi="Times New Roman" w:cs="Times New Roman"/>
          <w:b/>
          <w:bCs/>
          <w:sz w:val="30"/>
          <w:szCs w:val="30"/>
        </w:rPr>
      </w:pPr>
      <w:r>
        <w:br w:type="page"/>
      </w:r>
    </w:p>
    <w:p w14:paraId="00000045" w14:textId="77777777" w:rsidR="002678B4" w:rsidRDefault="002678B4">
      <w:pPr>
        <w:pBdr>
          <w:top w:val="nil"/>
          <w:left w:val="nil"/>
          <w:bottom w:val="nil"/>
          <w:right w:val="nil"/>
          <w:between w:val="nil"/>
        </w:pBdr>
        <w:spacing w:before="240" w:after="240"/>
        <w:jc w:val="center"/>
        <w:rPr>
          <w:rFonts w:ascii="Times New Roman" w:eastAsia="Times New Roman" w:hAnsi="Times New Roman" w:cs="Times New Roman"/>
          <w:b/>
          <w:bCs/>
          <w:sz w:val="30"/>
          <w:szCs w:val="30"/>
        </w:rPr>
      </w:pPr>
    </w:p>
    <w:p w14:paraId="00000046" w14:textId="70436EF6"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al Consejo Europeo y al Consejo de la Unión Europea a debatir urgentemente la movilización de los 210.000 millones de euros en activos del Banco Central </w:t>
      </w:r>
      <w:r w:rsidR="006A4812">
        <w:rPr>
          <w:rFonts w:ascii="Times New Roman" w:eastAsia="Times New Roman" w:hAnsi="Times New Roman" w:cs="Times New Roman"/>
          <w:sz w:val="24"/>
          <w:szCs w:val="24"/>
        </w:rPr>
        <w:t>rusos inmovilizados</w:t>
      </w:r>
      <w:r>
        <w:rPr>
          <w:rFonts w:ascii="Times New Roman" w:eastAsia="Times New Roman" w:hAnsi="Times New Roman" w:cs="Times New Roman"/>
          <w:sz w:val="24"/>
          <w:szCs w:val="24"/>
        </w:rPr>
        <w:t>, estudiando su posible utilización legal de los fondos para fortalecer a aquellos p</w:t>
      </w:r>
      <w:r>
        <w:rPr>
          <w:rFonts w:ascii="Times New Roman" w:eastAsia="Times New Roman" w:hAnsi="Times New Roman" w:cs="Times New Roman"/>
          <w:sz w:val="24"/>
          <w:szCs w:val="24"/>
        </w:rPr>
        <w:t xml:space="preserve">aíses que más lo necesiten, precisamente Estados en el frente del flanco oriental, que más sufren la amenaza directa de Rusia y concretamente, Ucrania. </w:t>
      </w:r>
    </w:p>
    <w:p w14:paraId="00000047"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Solicita</w:t>
      </w:r>
      <w:r>
        <w:rPr>
          <w:rFonts w:ascii="Times New Roman" w:eastAsia="Times New Roman" w:hAnsi="Times New Roman" w:cs="Times New Roman"/>
          <w:sz w:val="24"/>
          <w:szCs w:val="24"/>
        </w:rPr>
        <w:t xml:space="preserve"> a las instituciones europeas que coordinen una respuesta al control de empresas europeas por R</w:t>
      </w:r>
      <w:r>
        <w:rPr>
          <w:rFonts w:ascii="Times New Roman" w:eastAsia="Times New Roman" w:hAnsi="Times New Roman" w:cs="Times New Roman"/>
          <w:sz w:val="24"/>
          <w:szCs w:val="24"/>
        </w:rPr>
        <w:t>usia. Actualmente Rusia exige que la salida de estas empresas sea condicionada a una venta a un coste menor, y con un porcentaje dedicado a su propio rearme. Se propone que la Unión interceda y coopere en mesas de negociación, apoyando a estas empresas vul</w:t>
      </w:r>
      <w:r>
        <w:rPr>
          <w:rFonts w:ascii="Times New Roman" w:eastAsia="Times New Roman" w:hAnsi="Times New Roman" w:cs="Times New Roman"/>
          <w:sz w:val="24"/>
          <w:szCs w:val="24"/>
        </w:rPr>
        <w:t xml:space="preserve">nerables. </w:t>
      </w:r>
    </w:p>
    <w:p w14:paraId="00000048"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Propone</w:t>
      </w:r>
      <w:r>
        <w:rPr>
          <w:rFonts w:ascii="Times New Roman" w:eastAsia="Times New Roman" w:hAnsi="Times New Roman" w:cs="Times New Roman"/>
          <w:sz w:val="24"/>
          <w:szCs w:val="24"/>
        </w:rPr>
        <w:t xml:space="preserve"> la congelación de fondos rusos, que una vez liquidados, se reinviertan y reorganizan de manera proporcional a los Estados cuya situación política, geográfica y económica necesite esos fondos para su propia reestructuración de armamento y</w:t>
      </w:r>
      <w:r>
        <w:rPr>
          <w:rFonts w:ascii="Times New Roman" w:eastAsia="Times New Roman" w:hAnsi="Times New Roman" w:cs="Times New Roman"/>
          <w:sz w:val="24"/>
          <w:szCs w:val="24"/>
        </w:rPr>
        <w:t xml:space="preserve"> ejército. La financiación será proporcionada desde la liquidación de dichos fondos. La decisión del armamento, necesario para su ejército será regido de acuerdo al artículo 346 del TFUE. Dicha financiación será de acuerdo:</w:t>
      </w:r>
    </w:p>
    <w:p w14:paraId="00000049" w14:textId="77777777"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Al control del Tribunal de Cu</w:t>
      </w:r>
      <w:r>
        <w:rPr>
          <w:rFonts w:ascii="Times New Roman" w:eastAsia="Times New Roman" w:hAnsi="Times New Roman" w:cs="Times New Roman"/>
          <w:sz w:val="24"/>
          <w:szCs w:val="24"/>
        </w:rPr>
        <w:t>entas de la UE para evitar una posible opacidad en las operaciones y propiciar la confianza de los ciudadanos en la transparencia de las tomas de decisiones y resultados obtenidos.</w:t>
      </w:r>
    </w:p>
    <w:p w14:paraId="0000004A"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Recomienda</w:t>
      </w:r>
      <w:r>
        <w:rPr>
          <w:rFonts w:ascii="Times New Roman" w:eastAsia="Times New Roman" w:hAnsi="Times New Roman" w:cs="Times New Roman"/>
          <w:sz w:val="24"/>
          <w:szCs w:val="24"/>
        </w:rPr>
        <w:t xml:space="preserve"> reforzar las sanciones contra Rusia y controlar el uso de tecnol</w:t>
      </w:r>
      <w:r>
        <w:rPr>
          <w:rFonts w:ascii="Times New Roman" w:eastAsia="Times New Roman" w:hAnsi="Times New Roman" w:cs="Times New Roman"/>
          <w:sz w:val="24"/>
          <w:szCs w:val="24"/>
        </w:rPr>
        <w:t xml:space="preserve">ogías europeas de doble uso, especialmente la inteligencia artificial y la I+D+i, para impedir su aplicación con fines militares rusos. </w:t>
      </w:r>
    </w:p>
    <w:p w14:paraId="0000004B"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 la creación e implementación inmediata del Escudo Europeo de Ciberseguridad: Se solicita a la Comisión Europea </w:t>
      </w:r>
      <w:r>
        <w:rPr>
          <w:rFonts w:ascii="Times New Roman" w:eastAsia="Times New Roman" w:hAnsi="Times New Roman" w:cs="Times New Roman"/>
          <w:sz w:val="24"/>
          <w:szCs w:val="24"/>
        </w:rPr>
        <w:t>y a la Agencia de Ciberseguridad de la UE (ENISA) el despliegue de una red de Centros de Operaciones de Seguridad (SOC) interconectados mediante algoritmos de Inteligencia Artificial. Este sistema detectará, neutraliza y compartirá en tiempo real informaci</w:t>
      </w:r>
      <w:r>
        <w:rPr>
          <w:rFonts w:ascii="Times New Roman" w:eastAsia="Times New Roman" w:hAnsi="Times New Roman" w:cs="Times New Roman"/>
          <w:sz w:val="24"/>
          <w:szCs w:val="24"/>
        </w:rPr>
        <w:t>ón sobre amenazas híbridas originadas en Rusia.</w:t>
      </w:r>
    </w:p>
    <w:p w14:paraId="0000004C"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Solicita </w:t>
      </w:r>
      <w:r>
        <w:rPr>
          <w:rFonts w:ascii="Times New Roman" w:eastAsia="Times New Roman" w:hAnsi="Times New Roman" w:cs="Times New Roman"/>
          <w:sz w:val="24"/>
          <w:szCs w:val="24"/>
        </w:rPr>
        <w:t>establecer un mecanismo permanente de coordinación europea sobre Ucrania, que facilite una respuesta común, la negociación coordinada con Rusia y la gestión de los activos rusos inmovilizados. Este m</w:t>
      </w:r>
      <w:r>
        <w:rPr>
          <w:rFonts w:ascii="Times New Roman" w:eastAsia="Times New Roman" w:hAnsi="Times New Roman" w:cs="Times New Roman"/>
          <w:sz w:val="24"/>
          <w:szCs w:val="24"/>
        </w:rPr>
        <w:t>ecanismo de coordinación permanente será la constitución de un Consejo de Seguridad y Defensa en el seno del Consejo de la Unión Europea.</w:t>
      </w:r>
    </w:p>
    <w:p w14:paraId="0000004D"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Propone </w:t>
      </w:r>
      <w:r>
        <w:rPr>
          <w:rFonts w:ascii="Times New Roman" w:eastAsia="Times New Roman" w:hAnsi="Times New Roman" w:cs="Times New Roman"/>
          <w:sz w:val="24"/>
          <w:szCs w:val="24"/>
        </w:rPr>
        <w:t>reforzar la cooperación con los países del Sahel, combinando seguridad fronteriza, lucha contra el yihadismo y</w:t>
      </w:r>
      <w:r>
        <w:rPr>
          <w:rFonts w:ascii="Times New Roman" w:eastAsia="Times New Roman" w:hAnsi="Times New Roman" w:cs="Times New Roman"/>
          <w:sz w:val="24"/>
          <w:szCs w:val="24"/>
        </w:rPr>
        <w:t xml:space="preserve"> prevención de la influencia rusa con financiación para el desarrollo civil. La acción militar de la UE (a través del Fondo Europeo de </w:t>
      </w:r>
      <w:r>
        <w:rPr>
          <w:rFonts w:ascii="Times New Roman" w:eastAsia="Times New Roman" w:hAnsi="Times New Roman" w:cs="Times New Roman"/>
          <w:sz w:val="24"/>
          <w:szCs w:val="24"/>
        </w:rPr>
        <w:lastRenderedPageBreak/>
        <w:t>Apoyo a la Paz, EPF) debe estar estrictamente condicionada y vinculada a las herramientas de desarrollo civil (programa G</w:t>
      </w:r>
      <w:r>
        <w:rPr>
          <w:rFonts w:ascii="Times New Roman" w:eastAsia="Times New Roman" w:hAnsi="Times New Roman" w:cs="Times New Roman"/>
          <w:sz w:val="24"/>
          <w:szCs w:val="24"/>
        </w:rPr>
        <w:t xml:space="preserve">lobal Europe). </w:t>
      </w:r>
    </w:p>
    <w:p w14:paraId="0000004E"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Recomienda </w:t>
      </w:r>
      <w:r>
        <w:rPr>
          <w:rFonts w:ascii="Times New Roman" w:eastAsia="Times New Roman" w:hAnsi="Times New Roman" w:cs="Times New Roman"/>
          <w:sz w:val="24"/>
          <w:szCs w:val="24"/>
        </w:rPr>
        <w:t>crear un observatorio de derechos humanos que supervise las operaciones fronterizas en el marco de Frontex y la utilización de los fondos europeos destinados a la cooperación migratoria.</w:t>
      </w:r>
    </w:p>
    <w:p w14:paraId="0000004F"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Insta </w:t>
      </w:r>
      <w:r>
        <w:rPr>
          <w:rFonts w:ascii="Times New Roman" w:eastAsia="Times New Roman" w:hAnsi="Times New Roman" w:cs="Times New Roman"/>
          <w:sz w:val="24"/>
          <w:szCs w:val="24"/>
        </w:rPr>
        <w:t>a reforzar la financiación y los med</w:t>
      </w:r>
      <w:r>
        <w:rPr>
          <w:rFonts w:ascii="Times New Roman" w:eastAsia="Times New Roman" w:hAnsi="Times New Roman" w:cs="Times New Roman"/>
          <w:sz w:val="24"/>
          <w:szCs w:val="24"/>
        </w:rPr>
        <w:t>ios humanos de Frontex, estableciendo como objetivo el despliegue de refuerzos en un máximo de 72 horas ante emergencias fronterizas.</w:t>
      </w:r>
    </w:p>
    <w:p w14:paraId="00000050"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Reitera </w:t>
      </w:r>
      <w:r>
        <w:rPr>
          <w:rFonts w:ascii="Times New Roman" w:eastAsia="Times New Roman" w:hAnsi="Times New Roman" w:cs="Times New Roman"/>
          <w:sz w:val="24"/>
          <w:szCs w:val="24"/>
        </w:rPr>
        <w:t>la importancia del cumplimiento del Pacto Europeo sobre Migración y Asilo, reforzando los mecanismos de solidaridad entre Estados miembros y aplicando las consecuencias previstas para quienes incumplan sus obligaciones.</w:t>
      </w:r>
    </w:p>
    <w:p w14:paraId="00000051" w14:textId="0D9A8605"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Propone </w:t>
      </w:r>
      <w:r>
        <w:rPr>
          <w:rFonts w:ascii="Times New Roman" w:eastAsia="Times New Roman" w:hAnsi="Times New Roman" w:cs="Times New Roman"/>
          <w:sz w:val="24"/>
          <w:szCs w:val="24"/>
        </w:rPr>
        <w:t>incluir cláusulas de condici</w:t>
      </w:r>
      <w:r>
        <w:rPr>
          <w:rFonts w:ascii="Times New Roman" w:eastAsia="Times New Roman" w:hAnsi="Times New Roman" w:cs="Times New Roman"/>
          <w:sz w:val="24"/>
          <w:szCs w:val="24"/>
        </w:rPr>
        <w:t>onalidad migratoria en los acuerdos de financiación, cooperación y preferencias comerciales con terceros países, con compromisos verificables de control fronterizo y lucha contra el tráfico ilícito de migrantes.</w:t>
      </w:r>
      <w:r w:rsidR="006A4812">
        <w:rPr>
          <w:rFonts w:ascii="Times New Roman" w:eastAsia="Times New Roman" w:hAnsi="Times New Roman" w:cs="Times New Roman"/>
          <w:sz w:val="24"/>
          <w:szCs w:val="24"/>
        </w:rPr>
        <w:t xml:space="preserve"> Exigiendo que cualquier medida de cooperación respete el derecho de asilo, el principio de no devolución y las garantías fundamentales de las personas migrantes.</w:t>
      </w:r>
    </w:p>
    <w:p w14:paraId="00000052"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Recomienda</w:t>
      </w:r>
      <w:r>
        <w:rPr>
          <w:rFonts w:ascii="Times New Roman" w:eastAsia="Times New Roman" w:hAnsi="Times New Roman" w:cs="Times New Roman"/>
          <w:sz w:val="24"/>
          <w:szCs w:val="24"/>
        </w:rPr>
        <w:t xml:space="preserve"> mantener la financiación europea </w:t>
      </w:r>
      <w:r>
        <w:rPr>
          <w:rFonts w:ascii="Times New Roman" w:eastAsia="Times New Roman" w:hAnsi="Times New Roman" w:cs="Times New Roman"/>
          <w:sz w:val="24"/>
          <w:szCs w:val="24"/>
        </w:rPr>
        <w:t>a países que bajo condiciones incumplan parcialmente acuerdos con la UE, vinculándola al cumplimiento de los acuerdos y a la protección de los derechos humanos.</w:t>
      </w:r>
    </w:p>
    <w:p w14:paraId="00000053" w14:textId="77777777"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 los casos previstos de violación total o parcial grave no justificada de dichos acuerdos </w:t>
      </w:r>
      <w:r>
        <w:rPr>
          <w:rFonts w:ascii="Times New Roman" w:eastAsia="Times New Roman" w:hAnsi="Times New Roman" w:cs="Times New Roman"/>
          <w:sz w:val="24"/>
          <w:szCs w:val="24"/>
        </w:rPr>
        <w:t>propone:</w:t>
      </w:r>
    </w:p>
    <w:p w14:paraId="00000054" w14:textId="77777777"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La congelación de inversiones y acuerdos estratégicos hasta su debido cumplimiento.</w:t>
      </w:r>
    </w:p>
    <w:p w14:paraId="00000055" w14:textId="0D729AFB"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Reafirma </w:t>
      </w:r>
      <w:r>
        <w:rPr>
          <w:rFonts w:ascii="Times New Roman" w:eastAsia="Times New Roman" w:hAnsi="Times New Roman" w:cs="Times New Roman"/>
          <w:sz w:val="24"/>
          <w:szCs w:val="24"/>
        </w:rPr>
        <w:t>la soberanía europea en la totalidad de su espacio geográfico,</w:t>
      </w:r>
      <w:r w:rsidR="00793CD1">
        <w:rPr>
          <w:rFonts w:ascii="Times New Roman" w:eastAsia="Times New Roman" w:hAnsi="Times New Roman" w:cs="Times New Roman"/>
          <w:sz w:val="24"/>
          <w:szCs w:val="24"/>
        </w:rPr>
        <w:t xml:space="preserve"> incluidas las ciudades de Ceuta y Melilla, cuya soberanía española está fuera de toda duda, </w:t>
      </w:r>
      <w:r>
        <w:rPr>
          <w:rFonts w:ascii="Times New Roman" w:eastAsia="Times New Roman" w:hAnsi="Times New Roman" w:cs="Times New Roman"/>
          <w:sz w:val="24"/>
          <w:szCs w:val="24"/>
        </w:rPr>
        <w:t>recordando la aplicación del artículo 42.7 del TUE en los términos previstos por los Tr</w:t>
      </w:r>
      <w:r>
        <w:rPr>
          <w:rFonts w:ascii="Times New Roman" w:eastAsia="Times New Roman" w:hAnsi="Times New Roman" w:cs="Times New Roman"/>
          <w:sz w:val="24"/>
          <w:szCs w:val="24"/>
        </w:rPr>
        <w:t xml:space="preserve">atados. </w:t>
      </w:r>
    </w:p>
    <w:p w14:paraId="00000056" w14:textId="7E067858" w:rsidR="002678B4" w:rsidRDefault="009A7F7B">
      <w:pPr>
        <w:pBdr>
          <w:top w:val="nil"/>
          <w:left w:val="nil"/>
          <w:bottom w:val="nil"/>
          <w:right w:val="nil"/>
          <w:between w:val="nil"/>
        </w:pBdr>
        <w:spacing w:after="20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 el caso que se produjere una violación de </w:t>
      </w:r>
      <w:r w:rsidR="00793CD1">
        <w:rPr>
          <w:rFonts w:ascii="Times New Roman" w:eastAsia="Times New Roman" w:hAnsi="Times New Roman" w:cs="Times New Roman"/>
          <w:sz w:val="24"/>
          <w:szCs w:val="24"/>
        </w:rPr>
        <w:t>soberanía</w:t>
      </w:r>
      <w:r>
        <w:rPr>
          <w:rFonts w:ascii="Times New Roman" w:eastAsia="Times New Roman" w:hAnsi="Times New Roman" w:cs="Times New Roman"/>
          <w:sz w:val="24"/>
          <w:szCs w:val="24"/>
        </w:rPr>
        <w:t>, propone revisar la cooperación con los Estados que vulneren las fronteras internacionales, recurriendo a los instrumentos diplomáticos y económicos disponibles</w:t>
      </w:r>
    </w:p>
    <w:p w14:paraId="00000057"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Propone</w:t>
      </w:r>
      <w:r>
        <w:rPr>
          <w:rFonts w:ascii="Times New Roman" w:eastAsia="Times New Roman" w:hAnsi="Times New Roman" w:cs="Times New Roman"/>
          <w:sz w:val="24"/>
          <w:szCs w:val="24"/>
        </w:rPr>
        <w:t xml:space="preserve"> introducir una cláusu</w:t>
      </w:r>
      <w:r>
        <w:rPr>
          <w:rFonts w:ascii="Times New Roman" w:eastAsia="Times New Roman" w:hAnsi="Times New Roman" w:cs="Times New Roman"/>
          <w:sz w:val="24"/>
          <w:szCs w:val="24"/>
        </w:rPr>
        <w:t>la de salvaguardia en el Pacto sobre Asilo y Migración para resolver conflictos normativos en situaciones de crisis, garantizando que los Estados miembros puedan invocar la reserva de soberanía del artículo 72 del TFUE ante amenazas al orden público o la s</w:t>
      </w:r>
      <w:r>
        <w:rPr>
          <w:rFonts w:ascii="Times New Roman" w:eastAsia="Times New Roman" w:hAnsi="Times New Roman" w:cs="Times New Roman"/>
          <w:sz w:val="24"/>
          <w:szCs w:val="24"/>
        </w:rPr>
        <w:t>eguridad interior, mediante un procedimiento ágil que priorice las competencias estatales.</w:t>
      </w:r>
    </w:p>
    <w:p w14:paraId="00000058"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Recomienda</w:t>
      </w:r>
      <w:r>
        <w:rPr>
          <w:rFonts w:ascii="Times New Roman" w:eastAsia="Times New Roman" w:hAnsi="Times New Roman" w:cs="Times New Roman"/>
          <w:sz w:val="24"/>
          <w:szCs w:val="24"/>
        </w:rPr>
        <w:t xml:space="preserve"> reinvertir los fondos europeos en la industria sostenible, cumplir con los objetivos de descarbonización, apoyar especialmente a las pequeñas y medianas </w:t>
      </w:r>
      <w:r>
        <w:rPr>
          <w:rFonts w:ascii="Times New Roman" w:eastAsia="Times New Roman" w:hAnsi="Times New Roman" w:cs="Times New Roman"/>
          <w:sz w:val="24"/>
          <w:szCs w:val="24"/>
        </w:rPr>
        <w:lastRenderedPageBreak/>
        <w:t>e</w:t>
      </w:r>
      <w:r>
        <w:rPr>
          <w:rFonts w:ascii="Times New Roman" w:eastAsia="Times New Roman" w:hAnsi="Times New Roman" w:cs="Times New Roman"/>
          <w:sz w:val="24"/>
          <w:szCs w:val="24"/>
        </w:rPr>
        <w:t>mpresas y las microempresas, reforzando la autonomía estratégica y la competitividad europea.</w:t>
      </w:r>
    </w:p>
    <w:p w14:paraId="00000059"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Propone</w:t>
      </w:r>
      <w:r>
        <w:rPr>
          <w:rFonts w:ascii="Times New Roman" w:eastAsia="Times New Roman" w:hAnsi="Times New Roman" w:cs="Times New Roman"/>
          <w:sz w:val="24"/>
          <w:szCs w:val="24"/>
        </w:rPr>
        <w:t xml:space="preserve"> reforzar la inversión industrial en los Balcanes, promoviendo el desarrollo económico y la reducción de las dependencias estratégicas europeas. Especialme</w:t>
      </w:r>
      <w:r>
        <w:rPr>
          <w:rFonts w:ascii="Times New Roman" w:eastAsia="Times New Roman" w:hAnsi="Times New Roman" w:cs="Times New Roman"/>
          <w:sz w:val="24"/>
          <w:szCs w:val="24"/>
        </w:rPr>
        <w:t>nte reforzando la tecnología I+D+i en estas zonas para hacer frente a amenazas híbridas y ataques a las infraestructuras.</w:t>
      </w:r>
    </w:p>
    <w:p w14:paraId="0000005A"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Solicita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que con urgencia se reactive un debate en el Consejo de la Unión Europea acerca de la creación de un Consejo de Seguridad en el Consejo de la Unión Europea para tratar la coordinación efectiva y rápida de efectivos y medidas ante estas crisis.</w:t>
      </w:r>
    </w:p>
    <w:p w14:paraId="0000005B"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Reitera</w:t>
      </w:r>
      <w:r>
        <w:rPr>
          <w:rFonts w:ascii="Times New Roman" w:eastAsia="Times New Roman" w:hAnsi="Times New Roman" w:cs="Times New Roman"/>
          <w:sz w:val="24"/>
          <w:szCs w:val="24"/>
        </w:rPr>
        <w:t xml:space="preserve"> la n</w:t>
      </w:r>
      <w:r>
        <w:rPr>
          <w:rFonts w:ascii="Times New Roman" w:eastAsia="Times New Roman" w:hAnsi="Times New Roman" w:cs="Times New Roman"/>
          <w:sz w:val="24"/>
          <w:szCs w:val="24"/>
        </w:rPr>
        <w:t>ecesidad de acordar un escudo de ciberseguridad permanente, con una unidad europea general y unidades nacionales que protejan la circulación de datos y tecnología de doble uso de código abierto en zonas críticas como Rusia, el Sahel y las fronteras de Ceut</w:t>
      </w:r>
      <w:r>
        <w:rPr>
          <w:rFonts w:ascii="Times New Roman" w:eastAsia="Times New Roman" w:hAnsi="Times New Roman" w:cs="Times New Roman"/>
          <w:sz w:val="24"/>
          <w:szCs w:val="24"/>
        </w:rPr>
        <w:t>a y Melilla.</w:t>
      </w:r>
    </w:p>
    <w:p w14:paraId="0000005C"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Recuerda</w:t>
      </w:r>
      <w:r>
        <w:rPr>
          <w:rFonts w:ascii="Times New Roman" w:eastAsia="Times New Roman" w:hAnsi="Times New Roman" w:cs="Times New Roman"/>
          <w:sz w:val="24"/>
          <w:szCs w:val="24"/>
        </w:rPr>
        <w:t xml:space="preserve"> que es necesario un proyecto justo que beneficie a todo el tejido empresarial europeo, recomienda incluir criterios verdes específicos en industria, con una promoción específica para las pequeñas y medianas empresas europeas</w:t>
      </w:r>
    </w:p>
    <w:p w14:paraId="0000005D"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 r</w:t>
      </w:r>
      <w:r>
        <w:rPr>
          <w:rFonts w:ascii="Times New Roman" w:eastAsia="Times New Roman" w:hAnsi="Times New Roman" w:cs="Times New Roman"/>
          <w:sz w:val="24"/>
          <w:szCs w:val="24"/>
        </w:rPr>
        <w:t>eforzar Frontex en personal, equipamiento y presupuesto al servicio de los  Estados  miembros  de  primera  línea,  con  pleno  respeto  de  los  derechos fundamentales y bajo la supervisión de su oficial de derechos fundamentales;</w:t>
      </w:r>
    </w:p>
    <w:p w14:paraId="0000005E"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el pleno despliegue</w:t>
      </w:r>
      <w:r>
        <w:rPr>
          <w:rFonts w:ascii="Times New Roman" w:eastAsia="Times New Roman" w:hAnsi="Times New Roman" w:cs="Times New Roman"/>
          <w:sz w:val="24"/>
          <w:szCs w:val="24"/>
        </w:rPr>
        <w:t xml:space="preserve"> del Sistema de Entradas y Salidas y de ETIAS, con las garantías de protección de datos previstas en el Derecho de la Unión;</w:t>
      </w:r>
    </w:p>
    <w:p w14:paraId="0000005F"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Reclama</w:t>
      </w:r>
      <w:r>
        <w:rPr>
          <w:rFonts w:ascii="Times New Roman" w:eastAsia="Times New Roman" w:hAnsi="Times New Roman" w:cs="Times New Roman"/>
          <w:sz w:val="24"/>
          <w:szCs w:val="24"/>
        </w:rPr>
        <w:t xml:space="preserve"> apoyo financiero y operativo reforzado de la Unión a los Estados miembros de primera línea, en particular a Ceuta y Melilla</w:t>
      </w:r>
      <w:r>
        <w:rPr>
          <w:rFonts w:ascii="Times New Roman" w:eastAsia="Times New Roman" w:hAnsi="Times New Roman" w:cs="Times New Roman"/>
          <w:sz w:val="24"/>
          <w:szCs w:val="24"/>
        </w:rPr>
        <w:t>, y una cooperación eficaz con los terceros países de origen y de tránsito, incluida la readmisión;</w:t>
      </w:r>
    </w:p>
    <w:p w14:paraId="00000060"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 reconocer la instrumentalización de la migración por actores estatales como amenaza híbrida contra las fronteras exteriores de la Unión, tanto en el</w:t>
      </w:r>
      <w:r>
        <w:rPr>
          <w:rFonts w:ascii="Times New Roman" w:eastAsia="Times New Roman" w:hAnsi="Times New Roman" w:cs="Times New Roman"/>
          <w:sz w:val="24"/>
          <w:szCs w:val="24"/>
        </w:rPr>
        <w:t xml:space="preserve"> este como en el sur;</w:t>
      </w:r>
    </w:p>
    <w:p w14:paraId="00000061"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reforzar el mecanismo de información mutua establecido por la Decisión 2006/688/CE, de modo que toda regularización de gran escala se comunique previamente  y  vaya  acompañada  de  un  informe  consultivo  que  evalúe  su impacto transfronterizo en el es</w:t>
      </w:r>
      <w:r>
        <w:rPr>
          <w:rFonts w:ascii="Times New Roman" w:eastAsia="Times New Roman" w:hAnsi="Times New Roman" w:cs="Times New Roman"/>
          <w:sz w:val="24"/>
          <w:szCs w:val="24"/>
        </w:rPr>
        <w:t>pacio Schengen;</w:t>
      </w:r>
    </w:p>
    <w:p w14:paraId="00000062"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Recomienda</w:t>
      </w:r>
      <w:r>
        <w:rPr>
          <w:rFonts w:ascii="Times New Roman" w:eastAsia="Times New Roman" w:hAnsi="Times New Roman" w:cs="Times New Roman"/>
          <w:sz w:val="24"/>
          <w:szCs w:val="24"/>
        </w:rPr>
        <w:t xml:space="preserve"> a la Comisión que presente una propuesta de directiva que colme el vacío jurídico derivado del Reglamento (UE) 2024/1356 y que defina el estatuto jurídico de las personas que, conforme a la ficción jurídica de “no entrada”, se en</w:t>
      </w:r>
      <w:r>
        <w:rPr>
          <w:rFonts w:ascii="Times New Roman" w:eastAsia="Times New Roman" w:hAnsi="Times New Roman" w:cs="Times New Roman"/>
          <w:sz w:val="24"/>
          <w:szCs w:val="24"/>
        </w:rPr>
        <w:t>cuentran en el territorio de un Estado miembro sin haber sido autorizadas a entrar en él,  con sus  derechos  y obligaciones, la autoridad responsable, los plazos máximos y un control seguro de su paradero hasta que se resuelva su situación;</w:t>
      </w:r>
    </w:p>
    <w:p w14:paraId="00000063"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Advierte</w:t>
      </w:r>
      <w:r>
        <w:rPr>
          <w:rFonts w:ascii="Times New Roman" w:eastAsia="Times New Roman" w:hAnsi="Times New Roman" w:cs="Times New Roman"/>
          <w:sz w:val="24"/>
          <w:szCs w:val="24"/>
        </w:rPr>
        <w:t xml:space="preserve"> a la </w:t>
      </w:r>
      <w:r>
        <w:rPr>
          <w:rFonts w:ascii="Times New Roman" w:eastAsia="Times New Roman" w:hAnsi="Times New Roman" w:cs="Times New Roman"/>
          <w:sz w:val="24"/>
          <w:szCs w:val="24"/>
        </w:rPr>
        <w:t>Comisión que establezca un sistema de incentivos y de sanciones para garantizar que los Estados miembros cumplen las obligaciones derivadas del Pacto de Migración y Asilo;</w:t>
      </w:r>
    </w:p>
    <w:p w14:paraId="00000064" w14:textId="4D6ADCC3"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que las solicitudes de asilo se resuelvan dentro de los plazos máximos previsto</w:t>
      </w:r>
      <w:r>
        <w:rPr>
          <w:rFonts w:ascii="Times New Roman" w:eastAsia="Times New Roman" w:hAnsi="Times New Roman" w:cs="Times New Roman"/>
          <w:sz w:val="24"/>
          <w:szCs w:val="24"/>
        </w:rPr>
        <w:t xml:space="preserve">s   en   el   </w:t>
      </w:r>
      <w:r w:rsidR="00793CD1">
        <w:rPr>
          <w:rFonts w:ascii="Times New Roman" w:eastAsia="Times New Roman" w:hAnsi="Times New Roman" w:cs="Times New Roman"/>
          <w:sz w:val="24"/>
          <w:szCs w:val="24"/>
        </w:rPr>
        <w:t xml:space="preserve">Pacto,  </w:t>
      </w:r>
      <w:r>
        <w:rPr>
          <w:rFonts w:ascii="Times New Roman" w:eastAsia="Times New Roman" w:hAnsi="Times New Roman" w:cs="Times New Roman"/>
          <w:sz w:val="24"/>
          <w:szCs w:val="24"/>
        </w:rPr>
        <w:t>mediante   procedimientos   rápidos   con   evaluación individual de cada caso, con control humano y tutela judicial efectiva;</w:t>
      </w:r>
    </w:p>
    <w:p w14:paraId="00000065"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Reitera</w:t>
      </w:r>
      <w:r>
        <w:rPr>
          <w:rFonts w:ascii="Times New Roman" w:eastAsia="Times New Roman" w:hAnsi="Times New Roman" w:cs="Times New Roman"/>
          <w:sz w:val="24"/>
          <w:szCs w:val="24"/>
        </w:rPr>
        <w:t xml:space="preserve">  la  aplicación  efectiva  del  Reglamento  de  Retorno,  de  modo  que  las decisiones  de  retor</w:t>
      </w:r>
      <w:r>
        <w:rPr>
          <w:rFonts w:ascii="Times New Roman" w:eastAsia="Times New Roman" w:hAnsi="Times New Roman" w:cs="Times New Roman"/>
          <w:sz w:val="24"/>
          <w:szCs w:val="24"/>
        </w:rPr>
        <w:t>no  se  ejecuten,  con  garantías  conformes  con  el  Derecho internacional y sin menores no acompañados en los centros de retorno;</w:t>
      </w:r>
    </w:p>
    <w:p w14:paraId="00000066" w14:textId="1DCD279D" w:rsidR="002678B4" w:rsidRDefault="00793CD1">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Recomienda</w:t>
      </w:r>
      <w:r>
        <w:rPr>
          <w:rFonts w:ascii="Times New Roman" w:eastAsia="Times New Roman" w:hAnsi="Times New Roman" w:cs="Times New Roman"/>
          <w:sz w:val="24"/>
          <w:szCs w:val="24"/>
        </w:rPr>
        <w:t xml:space="preserve"> que los menores extranjeros no</w:t>
      </w:r>
      <w:r w:rsidR="009A7F7B">
        <w:rPr>
          <w:rFonts w:ascii="Times New Roman" w:eastAsia="Times New Roman" w:hAnsi="Times New Roman" w:cs="Times New Roman"/>
          <w:sz w:val="24"/>
          <w:szCs w:val="24"/>
        </w:rPr>
        <w:t xml:space="preserve">  acompañados  gocen  de  los  mismos derechos  y  del  mismo  nivel  de  pro</w:t>
      </w:r>
      <w:r w:rsidR="009A7F7B">
        <w:rPr>
          <w:rFonts w:ascii="Times New Roman" w:eastAsia="Times New Roman" w:hAnsi="Times New Roman" w:cs="Times New Roman"/>
          <w:sz w:val="24"/>
          <w:szCs w:val="24"/>
        </w:rPr>
        <w:t xml:space="preserve">tección  que  los  menores  nacionales,  de conformidad con el principio del interés superior del menor consagrado en el artículo 24 de la Carta de los Derechos Fundamentales de la Unión Europea y en la Convención de las Naciones Unidas sobre los Derechos </w:t>
      </w:r>
      <w:r w:rsidR="009A7F7B">
        <w:rPr>
          <w:rFonts w:ascii="Times New Roman" w:eastAsia="Times New Roman" w:hAnsi="Times New Roman" w:cs="Times New Roman"/>
          <w:sz w:val="24"/>
          <w:szCs w:val="24"/>
        </w:rPr>
        <w:t>del Niño;</w:t>
      </w:r>
    </w:p>
    <w:p w14:paraId="00000067"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procedimientos fiables y respetuosos de determinación de la edad, con las garantías del interés superior del menor, a fin de asegurar la protección efectiva de los menores no acompañados;</w:t>
      </w:r>
    </w:p>
    <w:p w14:paraId="00000068"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Subraya</w:t>
      </w:r>
      <w:r>
        <w:rPr>
          <w:rFonts w:ascii="Times New Roman" w:eastAsia="Times New Roman" w:hAnsi="Times New Roman" w:cs="Times New Roman"/>
          <w:sz w:val="24"/>
          <w:szCs w:val="24"/>
        </w:rPr>
        <w:t xml:space="preserve"> que toda restricción de la libertad de expres</w:t>
      </w:r>
      <w:r>
        <w:rPr>
          <w:rFonts w:ascii="Times New Roman" w:eastAsia="Times New Roman" w:hAnsi="Times New Roman" w:cs="Times New Roman"/>
          <w:sz w:val="24"/>
          <w:szCs w:val="24"/>
        </w:rPr>
        <w:t>ión debe estar prevista por la  ley,  ser  necesaria  y  proporcionada  y  quedar  sometida  a  control  judicial  efectivo,  de  conformidad  con  los  artículos  11,  47  y  52  de  la  Carta  de  los Derechos Fundamentales de la Unión Europea, sin perju</w:t>
      </w:r>
      <w:r>
        <w:rPr>
          <w:rFonts w:ascii="Times New Roman" w:eastAsia="Times New Roman" w:hAnsi="Times New Roman" w:cs="Times New Roman"/>
          <w:sz w:val="24"/>
          <w:szCs w:val="24"/>
        </w:rPr>
        <w:t>icio de la persecución de los delitos de odio;</w:t>
      </w:r>
    </w:p>
    <w:p w14:paraId="00000069"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Apoya</w:t>
      </w:r>
      <w:r>
        <w:rPr>
          <w:rFonts w:ascii="Times New Roman" w:eastAsia="Times New Roman" w:hAnsi="Times New Roman" w:cs="Times New Roman"/>
          <w:sz w:val="24"/>
          <w:szCs w:val="24"/>
        </w:rPr>
        <w:t xml:space="preserve">  el  refuerzo  del  mandato  de  Europol  en  análisis  de  datos,  plantilla, competencias contra las amenazas híbridas y apoyo operativo en tiempo real, al servicio  de  las  autoridades  nacionales  y</w:t>
      </w:r>
      <w:r>
        <w:rPr>
          <w:rFonts w:ascii="Times New Roman" w:eastAsia="Times New Roman" w:hAnsi="Times New Roman" w:cs="Times New Roman"/>
          <w:sz w:val="24"/>
          <w:szCs w:val="24"/>
        </w:rPr>
        <w:t xml:space="preserve">  bajo  la  supervisión  del  Supervisor Europeo de Protección de Datos, y pide un sistema acelerado de alertas urgentes que permita congelar bienes con rapidez;</w:t>
      </w:r>
    </w:p>
    <w:p w14:paraId="0000006A"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Reclama</w:t>
      </w:r>
      <w:r>
        <w:rPr>
          <w:rFonts w:ascii="Times New Roman" w:eastAsia="Times New Roman" w:hAnsi="Times New Roman" w:cs="Times New Roman"/>
          <w:sz w:val="24"/>
          <w:szCs w:val="24"/>
        </w:rPr>
        <w:t xml:space="preserve"> un plan europeo de seguridad portuaria contra el narcotráfico, con escaneo sistemático</w:t>
      </w:r>
      <w:r>
        <w:rPr>
          <w:rFonts w:ascii="Times New Roman" w:eastAsia="Times New Roman" w:hAnsi="Times New Roman" w:cs="Times New Roman"/>
          <w:sz w:val="24"/>
          <w:szCs w:val="24"/>
        </w:rPr>
        <w:t xml:space="preserve">  de  contenedores  en  los  grandes  puertos  de  entrada  del  espacio Schengen;</w:t>
      </w:r>
    </w:p>
    <w:p w14:paraId="0000006B"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  que  se  investigue  y  se  corte  la  financiación  extranjera  de  las  redes extremistas que socavan la cohesión social.</w:t>
      </w:r>
    </w:p>
    <w:p w14:paraId="0000006C"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Defiende</w:t>
      </w:r>
      <w:r>
        <w:rPr>
          <w:rFonts w:ascii="Times New Roman" w:eastAsia="Times New Roman" w:hAnsi="Times New Roman" w:cs="Times New Roman"/>
          <w:sz w:val="24"/>
          <w:szCs w:val="24"/>
        </w:rPr>
        <w:t xml:space="preserve"> la continuidad de los instrumen</w:t>
      </w:r>
      <w:r>
        <w:rPr>
          <w:rFonts w:ascii="Times New Roman" w:eastAsia="Times New Roman" w:hAnsi="Times New Roman" w:cs="Times New Roman"/>
          <w:sz w:val="24"/>
          <w:szCs w:val="24"/>
        </w:rPr>
        <w:t xml:space="preserve">tos estratégicos y normativos vigentes en materia de seguridad y gestión de fronteras, subrayando que la responsabilidad de la Unión trasciende sus límites geográficos y exige una cooperación estructural y reforzada con terceros países socios; </w:t>
      </w:r>
    </w:p>
    <w:p w14:paraId="0000006D"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Establece</w:t>
      </w:r>
      <w:r>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omo principios rectores innegociables el control humano efectivo e indelegable sobre cualquier decisión que afecte a la esfera jurídica y a los derechos de las personas, la observancia escrupulosa del Estado de Derecho y la aplicación íntegra del Pacto sob</w:t>
      </w:r>
      <w:r>
        <w:rPr>
          <w:rFonts w:ascii="Times New Roman" w:eastAsia="Times New Roman" w:hAnsi="Times New Roman" w:cs="Times New Roman"/>
          <w:sz w:val="24"/>
          <w:szCs w:val="24"/>
        </w:rPr>
        <w:t xml:space="preserve">re Migración y Asilo; </w:t>
      </w:r>
    </w:p>
    <w:p w14:paraId="0000006E"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Respalda</w:t>
      </w:r>
      <w:r>
        <w:rPr>
          <w:rFonts w:ascii="Times New Roman" w:eastAsia="Times New Roman" w:hAnsi="Times New Roman" w:cs="Times New Roman"/>
          <w:sz w:val="24"/>
          <w:szCs w:val="24"/>
        </w:rPr>
        <w:t xml:space="preserve"> que cualquier tecnología o sistema de información cuente con una base jurídica expresa y precisa en el Derecho de la Unión, apostando por la soberanía tecnológica en inteligencia artificial comunitaria y rechazando taxativam</w:t>
      </w:r>
      <w:r>
        <w:rPr>
          <w:rFonts w:ascii="Times New Roman" w:eastAsia="Times New Roman" w:hAnsi="Times New Roman" w:cs="Times New Roman"/>
          <w:sz w:val="24"/>
          <w:szCs w:val="24"/>
        </w:rPr>
        <w:t xml:space="preserve">ente cualquier modalidad de vigilancia masiva o desproporcionada que lesione derechos fundamentales; </w:t>
      </w:r>
    </w:p>
    <w:p w14:paraId="0000006F"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Pide </w:t>
      </w:r>
      <w:r>
        <w:rPr>
          <w:rFonts w:ascii="Times New Roman" w:eastAsia="Times New Roman" w:hAnsi="Times New Roman" w:cs="Times New Roman"/>
          <w:sz w:val="24"/>
          <w:szCs w:val="24"/>
        </w:rPr>
        <w:t>salvaguardias vinculantes</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para que todo tratamiento de datos personales en el ámbito de la seguridad, fronteras y flujos migratorios se someta a la f</w:t>
      </w:r>
      <w:r>
        <w:rPr>
          <w:rFonts w:ascii="Times New Roman" w:eastAsia="Times New Roman" w:hAnsi="Times New Roman" w:cs="Times New Roman"/>
          <w:sz w:val="24"/>
          <w:szCs w:val="24"/>
        </w:rPr>
        <w:t xml:space="preserve">iscalización independiente del Supervisor Europeo de Protección de Datos (SEPD) y de las autoridades nacionales, en estricto cumplimiento del RGPD y de la Directiva (UE) 2016/680; </w:t>
      </w:r>
    </w:p>
    <w:p w14:paraId="00000070"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Advierte </w:t>
      </w:r>
      <w:r>
        <w:rPr>
          <w:rFonts w:ascii="Times New Roman" w:eastAsia="Times New Roman" w:hAnsi="Times New Roman" w:cs="Times New Roman"/>
          <w:sz w:val="24"/>
          <w:szCs w:val="24"/>
        </w:rPr>
        <w:t>del vacío de protección que genera la ficción jurídica de «no entr</w:t>
      </w:r>
      <w:r>
        <w:rPr>
          <w:rFonts w:ascii="Times New Roman" w:eastAsia="Times New Roman" w:hAnsi="Times New Roman" w:cs="Times New Roman"/>
          <w:sz w:val="24"/>
          <w:szCs w:val="24"/>
        </w:rPr>
        <w:t>ada» durante las fases de triaje y procedimiento fronterizo, e insta a poner fin a dicho limbo mediante un estatuto jurídico garantista, plazos procedimentales perentorios y un seguimiento verificable del paradero de las personas solicitantes;</w:t>
      </w:r>
    </w:p>
    <w:p w14:paraId="00000071"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Reclama </w:t>
      </w:r>
      <w:r>
        <w:rPr>
          <w:rFonts w:ascii="Times New Roman" w:eastAsia="Times New Roman" w:hAnsi="Times New Roman" w:cs="Times New Roman"/>
          <w:sz w:val="24"/>
          <w:szCs w:val="24"/>
        </w:rPr>
        <w:t xml:space="preserve">una </w:t>
      </w:r>
      <w:r>
        <w:rPr>
          <w:rFonts w:ascii="Times New Roman" w:eastAsia="Times New Roman" w:hAnsi="Times New Roman" w:cs="Times New Roman"/>
          <w:sz w:val="24"/>
          <w:szCs w:val="24"/>
        </w:rPr>
        <w:t>protección homologable e idéntica para los menores migrantes respecto de los menores nacionales con arreglo a los artículos 21 y 24 de la Carta de los Derechos Fundamentales y la Convención de la ONU sobre los Derechos del Niño, proscribiendo cualquier dis</w:t>
      </w:r>
      <w:r>
        <w:rPr>
          <w:rFonts w:ascii="Times New Roman" w:eastAsia="Times New Roman" w:hAnsi="Times New Roman" w:cs="Times New Roman"/>
          <w:sz w:val="24"/>
          <w:szCs w:val="24"/>
        </w:rPr>
        <w:t xml:space="preserve">criminación por origen o estatuto administrativo; </w:t>
      </w:r>
    </w:p>
    <w:p w14:paraId="00000072"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Respalda</w:t>
      </w:r>
      <w:r>
        <w:rPr>
          <w:rFonts w:ascii="Times New Roman" w:eastAsia="Times New Roman" w:hAnsi="Times New Roman" w:cs="Times New Roman"/>
          <w:sz w:val="24"/>
          <w:szCs w:val="24"/>
        </w:rPr>
        <w:t xml:space="preserve"> la modernización tecnológica y operativa de las fronteras mediante la plena interoperabilidad del SES y el SEIAV (ETIAS), la consolidación de un Frontex operativo y el otorgamiento a Europol de ca</w:t>
      </w:r>
      <w:r>
        <w:rPr>
          <w:rFonts w:ascii="Times New Roman" w:eastAsia="Times New Roman" w:hAnsi="Times New Roman" w:cs="Times New Roman"/>
          <w:sz w:val="24"/>
          <w:szCs w:val="24"/>
        </w:rPr>
        <w:t xml:space="preserve">pacidades operativas propias de apoyo policial; </w:t>
      </w:r>
    </w:p>
    <w:p w14:paraId="00000073"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Advierte</w:t>
      </w:r>
      <w:r>
        <w:rPr>
          <w:rFonts w:ascii="Times New Roman" w:eastAsia="Times New Roman" w:hAnsi="Times New Roman" w:cs="Times New Roman"/>
          <w:sz w:val="24"/>
          <w:szCs w:val="24"/>
        </w:rPr>
        <w:t xml:space="preserve"> la necesidad de ejecutar las decisiones de retorno de forma eficaz y coordinada, si bien manifiesta su firme cautela ante la externalización en centros de deportación en terceros países y rechaza los períodos de detención o retención prolongados; </w:t>
      </w:r>
    </w:p>
    <w:p w14:paraId="00000074"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elevar la tasa de ejecución de las órdenes de retorno mediante la aplicación rigurosa de la normativa común y el empleo coordinado del artículo 25 bis del Código de Visados, la política comercial y la cooperación al desarrollo como palancas estratégicas d</w:t>
      </w:r>
      <w:r>
        <w:rPr>
          <w:rFonts w:ascii="Times New Roman" w:eastAsia="Times New Roman" w:hAnsi="Times New Roman" w:cs="Times New Roman"/>
          <w:sz w:val="24"/>
          <w:szCs w:val="24"/>
        </w:rPr>
        <w:t xml:space="preserve">e readmisión; </w:t>
      </w:r>
    </w:p>
    <w:p w14:paraId="00000075"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un despliegue prioritario de Frontex en apoyo de los Estados miembros en primera línea, con especial atención y respaldo operativo a las ciudades de Ceuta y Melilla, reconociendo formalmente la instrumentalización de los flujos migrator</w:t>
      </w:r>
      <w:r>
        <w:rPr>
          <w:rFonts w:ascii="Times New Roman" w:eastAsia="Times New Roman" w:hAnsi="Times New Roman" w:cs="Times New Roman"/>
          <w:sz w:val="24"/>
          <w:szCs w:val="24"/>
        </w:rPr>
        <w:t xml:space="preserve">ios como amenaza híbrida desestabilizadora; </w:t>
      </w:r>
    </w:p>
    <w:p w14:paraId="00000076" w14:textId="20733445"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Reclama</w:t>
      </w:r>
      <w:r>
        <w:rPr>
          <w:rFonts w:ascii="Times New Roman" w:eastAsia="Times New Roman" w:hAnsi="Times New Roman" w:cs="Times New Roman"/>
          <w:sz w:val="24"/>
          <w:szCs w:val="24"/>
        </w:rPr>
        <w:t xml:space="preserve"> la adopción urgente de una estrategia de seguridad portuaria contra el narcotráfico y la delincuencia organizada transnacional, así como la retirada inmediata de fondos europeos a cualquier entidad vincu</w:t>
      </w:r>
      <w:r>
        <w:rPr>
          <w:rFonts w:ascii="Times New Roman" w:eastAsia="Times New Roman" w:hAnsi="Times New Roman" w:cs="Times New Roman"/>
          <w:sz w:val="24"/>
          <w:szCs w:val="24"/>
        </w:rPr>
        <w:t xml:space="preserve">lada a formas de </w:t>
      </w:r>
      <w:r w:rsidR="0049075D">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entrismo o extremismo contrarias a los valores de la Unión; </w:t>
      </w:r>
    </w:p>
    <w:p w14:paraId="00000077" w14:textId="77777777"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Defiende</w:t>
      </w:r>
      <w:r>
        <w:rPr>
          <w:rFonts w:ascii="Times New Roman" w:eastAsia="Times New Roman" w:hAnsi="Times New Roman" w:cs="Times New Roman"/>
          <w:sz w:val="24"/>
          <w:szCs w:val="24"/>
        </w:rPr>
        <w:t xml:space="preserve"> la preservación del cifrado de extremo a extremo en las comunicaciones digitales, exigiendo que cualquier interceptación o medida de investigación telemática cuente con </w:t>
      </w:r>
      <w:r>
        <w:rPr>
          <w:rFonts w:ascii="Times New Roman" w:eastAsia="Times New Roman" w:hAnsi="Times New Roman" w:cs="Times New Roman"/>
          <w:sz w:val="24"/>
          <w:szCs w:val="24"/>
        </w:rPr>
        <w:t xml:space="preserve">autorización judicial previa, motivada e individualizada; </w:t>
      </w:r>
    </w:p>
    <w:p w14:paraId="00000078" w14:textId="4C6432C0" w:rsidR="002678B4" w:rsidRDefault="009A7F7B">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Recuerda </w:t>
      </w:r>
      <w:r>
        <w:rPr>
          <w:rFonts w:ascii="Times New Roman" w:eastAsia="Times New Roman" w:hAnsi="Times New Roman" w:cs="Times New Roman"/>
          <w:sz w:val="24"/>
          <w:szCs w:val="24"/>
        </w:rPr>
        <w:t xml:space="preserve">las competencias soberanas de los Estados miembros en materia de regularización administrativa, proponiendo que su impacto transfronterizo se canalice y evalúe a través del Mecanismo de Información Mutua </w:t>
      </w:r>
      <w:r w:rsidR="00077CB0">
        <w:rPr>
          <w:rFonts w:ascii="Times New Roman" w:eastAsia="Times New Roman" w:hAnsi="Times New Roman" w:cs="Times New Roman"/>
          <w:sz w:val="24"/>
          <w:szCs w:val="24"/>
        </w:rPr>
        <w:t>en coherencia con la Resolución del Parlamento Europeo de 17 de septiembre de 2026</w:t>
      </w:r>
      <w:r>
        <w:rPr>
          <w:rFonts w:ascii="Times New Roman" w:eastAsia="Times New Roman" w:hAnsi="Times New Roman" w:cs="Times New Roman"/>
          <w:sz w:val="24"/>
          <w:szCs w:val="24"/>
        </w:rPr>
        <w:t xml:space="preserve">; </w:t>
      </w:r>
    </w:p>
    <w:p w14:paraId="02DD50A1" w14:textId="6372180B" w:rsidR="00950D21" w:rsidRDefault="009A7F7B" w:rsidP="00950D21">
      <w:pPr>
        <w:numPr>
          <w:ilvl w:val="0"/>
          <w:numId w:val="2"/>
        </w:numPr>
        <w:pBdr>
          <w:top w:val="nil"/>
          <w:left w:val="nil"/>
          <w:bottom w:val="nil"/>
          <w:right w:val="nil"/>
          <w:between w:val="nil"/>
        </w:pBdr>
        <w:spacing w:after="2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Subraya</w:t>
      </w:r>
      <w:r>
        <w:rPr>
          <w:rFonts w:ascii="Times New Roman" w:eastAsia="Times New Roman" w:hAnsi="Times New Roman" w:cs="Times New Roman"/>
          <w:sz w:val="24"/>
          <w:szCs w:val="24"/>
        </w:rPr>
        <w:t xml:space="preserve"> la obligación</w:t>
      </w:r>
      <w:r>
        <w:rPr>
          <w:rFonts w:ascii="Times New Roman" w:eastAsia="Times New Roman" w:hAnsi="Times New Roman" w:cs="Times New Roman"/>
          <w:sz w:val="24"/>
          <w:szCs w:val="24"/>
        </w:rPr>
        <w:t xml:space="preserve"> moral y jurídica de garantizar la protección internacional a las personas que huyen de conflictos o persecución, promoviendo procedimientos de asilo ágiles, justos y rigurosos que eviten abusos y consoliden alianzas con terceros países seguros bajo estric</w:t>
      </w:r>
      <w:r>
        <w:rPr>
          <w:rFonts w:ascii="Times New Roman" w:eastAsia="Times New Roman" w:hAnsi="Times New Roman" w:cs="Times New Roman"/>
          <w:sz w:val="24"/>
          <w:szCs w:val="24"/>
        </w:rPr>
        <w:t>to respeto a las garantías procesales.</w:t>
      </w:r>
    </w:p>
    <w:p w14:paraId="2B1147DF" w14:textId="339E4938" w:rsidR="00950D21" w:rsidRDefault="00950D21" w:rsidP="00950D21">
      <w:pPr>
        <w:pBdr>
          <w:top w:val="nil"/>
          <w:left w:val="nil"/>
          <w:bottom w:val="nil"/>
          <w:right w:val="nil"/>
          <w:between w:val="nil"/>
        </w:pBdr>
        <w:spacing w:after="20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 bis. </w:t>
      </w:r>
      <w:r w:rsidRPr="00950D21">
        <w:rPr>
          <w:rFonts w:ascii="Times New Roman" w:eastAsia="Times New Roman" w:hAnsi="Times New Roman" w:cs="Times New Roman"/>
          <w:i/>
          <w:iCs/>
          <w:sz w:val="24"/>
          <w:szCs w:val="24"/>
        </w:rPr>
        <w:t>Subraya</w:t>
      </w:r>
      <w:r>
        <w:rPr>
          <w:rFonts w:ascii="Times New Roman" w:eastAsia="Times New Roman" w:hAnsi="Times New Roman" w:cs="Times New Roman"/>
          <w:sz w:val="24"/>
          <w:szCs w:val="24"/>
        </w:rPr>
        <w:t xml:space="preserve"> que, con toda medida contra la desinformación y la injerencia extranjera debe respetar el artículo 11 de la Carta de Derechos Fundamentales y estar sujeta a control judicial efectivo, sin que la expresión de opiniones legítimas pueda equipararse a una injerencia extranjera</w:t>
      </w:r>
    </w:p>
    <w:p w14:paraId="5A6BAA75" w14:textId="77777777" w:rsidR="00DD0C62" w:rsidRPr="00950D21" w:rsidRDefault="00DD0C62" w:rsidP="00950D21">
      <w:pPr>
        <w:pBdr>
          <w:top w:val="nil"/>
          <w:left w:val="nil"/>
          <w:bottom w:val="nil"/>
          <w:right w:val="nil"/>
          <w:between w:val="nil"/>
        </w:pBdr>
        <w:spacing w:after="200"/>
        <w:ind w:left="360"/>
        <w:jc w:val="both"/>
        <w:rPr>
          <w:rFonts w:ascii="Times New Roman" w:eastAsia="Times New Roman" w:hAnsi="Times New Roman" w:cs="Times New Roman"/>
          <w:sz w:val="24"/>
          <w:szCs w:val="24"/>
        </w:rPr>
      </w:pPr>
    </w:p>
    <w:p w14:paraId="0000007A" w14:textId="77777777" w:rsidR="002678B4" w:rsidRDefault="002678B4">
      <w:pPr>
        <w:pBdr>
          <w:top w:val="nil"/>
          <w:left w:val="nil"/>
          <w:bottom w:val="nil"/>
          <w:right w:val="nil"/>
          <w:between w:val="nil"/>
        </w:pBdr>
        <w:spacing w:after="200"/>
        <w:jc w:val="both"/>
        <w:rPr>
          <w:rFonts w:ascii="Times New Roman" w:eastAsia="Times New Roman" w:hAnsi="Times New Roman" w:cs="Times New Roman"/>
          <w:sz w:val="24"/>
          <w:szCs w:val="24"/>
        </w:rPr>
      </w:pPr>
    </w:p>
    <w:p w14:paraId="0000007B" w14:textId="77777777" w:rsidR="002678B4" w:rsidRDefault="009A7F7B">
      <w:pPr>
        <w:pBdr>
          <w:top w:val="nil"/>
          <w:left w:val="nil"/>
          <w:bottom w:val="nil"/>
          <w:right w:val="nil"/>
          <w:between w:val="nil"/>
        </w:pBdr>
        <w:spacing w:before="240" w:after="240"/>
        <w:jc w:val="center"/>
        <w:rPr>
          <w:rFonts w:ascii="Times New Roman" w:eastAsia="Times New Roman" w:hAnsi="Times New Roman" w:cs="Times New Roman"/>
          <w:b/>
          <w:bCs/>
          <w:sz w:val="30"/>
          <w:szCs w:val="30"/>
        </w:rPr>
      </w:pPr>
      <w:r>
        <w:br w:type="page"/>
      </w:r>
    </w:p>
    <w:p w14:paraId="0000007C" w14:textId="77777777" w:rsidR="002678B4" w:rsidRDefault="002678B4">
      <w:pPr>
        <w:pBdr>
          <w:top w:val="nil"/>
          <w:left w:val="nil"/>
          <w:bottom w:val="nil"/>
          <w:right w:val="nil"/>
          <w:between w:val="nil"/>
        </w:pBdr>
        <w:spacing w:before="240" w:after="240"/>
        <w:rPr>
          <w:rFonts w:ascii="Times New Roman" w:eastAsia="Times New Roman" w:hAnsi="Times New Roman" w:cs="Times New Roman"/>
          <w:b/>
          <w:bCs/>
          <w:sz w:val="30"/>
          <w:szCs w:val="30"/>
        </w:rPr>
      </w:pPr>
    </w:p>
    <w:p w14:paraId="0000007D" w14:textId="77777777" w:rsidR="002678B4" w:rsidRDefault="009A7F7B">
      <w:pPr>
        <w:numPr>
          <w:ilvl w:val="0"/>
          <w:numId w:val="2"/>
        </w:num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Plantea</w:t>
      </w:r>
      <w:r>
        <w:rPr>
          <w:rFonts w:ascii="Times New Roman" w:eastAsia="Times New Roman" w:hAnsi="Times New Roman" w:cs="Times New Roman"/>
          <w:sz w:val="24"/>
          <w:szCs w:val="24"/>
        </w:rPr>
        <w:t xml:space="preserve"> la creación de la Patente Unitaria Europea de Defensa: Exigimos integrar una "Cámara de Defensa" dentro de la Oficina de Propiedad Intelectual de la UE (EUIPO), operada por personal con máxima acreditación de seguridad (EUCI) en instalaciones aisladas. In</w:t>
      </w:r>
      <w:r>
        <w:rPr>
          <w:rFonts w:ascii="Times New Roman" w:eastAsia="Times New Roman" w:hAnsi="Times New Roman" w:cs="Times New Roman"/>
          <w:sz w:val="24"/>
          <w:szCs w:val="24"/>
        </w:rPr>
        <w:t>novación blindada por cofinanciación. Todo proyecto de I+D+i que reciba fondos europeos (como EDIP o AGILE) estará obligado a usar esta patente. Así, los Estados garantizan el uso del producto para la seguridad europea, pero la startup retiene la propiedad</w:t>
      </w:r>
      <w:r>
        <w:rPr>
          <w:rFonts w:ascii="Times New Roman" w:eastAsia="Times New Roman" w:hAnsi="Times New Roman" w:cs="Times New Roman"/>
          <w:sz w:val="24"/>
          <w:szCs w:val="24"/>
        </w:rPr>
        <w:t xml:space="preserve"> comercial de su tecnología. </w:t>
      </w:r>
    </w:p>
    <w:p w14:paraId="0000007E" w14:textId="77777777" w:rsidR="002678B4" w:rsidRDefault="002678B4">
      <w:pPr>
        <w:pBdr>
          <w:top w:val="nil"/>
          <w:left w:val="nil"/>
          <w:bottom w:val="nil"/>
          <w:right w:val="nil"/>
          <w:between w:val="nil"/>
        </w:pBdr>
        <w:ind w:left="720"/>
        <w:jc w:val="both"/>
        <w:rPr>
          <w:rFonts w:ascii="Times New Roman" w:eastAsia="Times New Roman" w:hAnsi="Times New Roman" w:cs="Times New Roman"/>
          <w:sz w:val="24"/>
          <w:szCs w:val="24"/>
        </w:rPr>
      </w:pPr>
    </w:p>
    <w:p w14:paraId="0000007F" w14:textId="77777777" w:rsidR="002678B4" w:rsidRDefault="009A7F7B">
      <w:pPr>
        <w:pBdr>
          <w:top w:val="nil"/>
          <w:left w:val="nil"/>
          <w:bottom w:val="nil"/>
          <w:right w:val="nil"/>
          <w:between w:val="nil"/>
        </w:pBd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 orden de agilizar los procesos y de extender el sistema, se invita formalmente a los países de la EFTA y países asociados como Canadá a participar en él siempre que lo deseen. </w:t>
      </w:r>
    </w:p>
    <w:p w14:paraId="00000080" w14:textId="77777777" w:rsidR="002678B4" w:rsidRDefault="002678B4">
      <w:pPr>
        <w:pBdr>
          <w:top w:val="nil"/>
          <w:left w:val="nil"/>
          <w:bottom w:val="nil"/>
          <w:right w:val="nil"/>
          <w:between w:val="nil"/>
        </w:pBdr>
        <w:ind w:left="720"/>
        <w:jc w:val="both"/>
        <w:rPr>
          <w:rFonts w:ascii="Times New Roman" w:eastAsia="Times New Roman" w:hAnsi="Times New Roman" w:cs="Times New Roman"/>
          <w:sz w:val="24"/>
          <w:szCs w:val="24"/>
        </w:rPr>
      </w:pPr>
    </w:p>
    <w:p w14:paraId="00000081" w14:textId="77777777" w:rsidR="002678B4" w:rsidRDefault="009A7F7B">
      <w:pPr>
        <w:numPr>
          <w:ilvl w:val="0"/>
          <w:numId w:val="2"/>
        </w:num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Solicita</w:t>
      </w:r>
      <w:r>
        <w:rPr>
          <w:rFonts w:ascii="Times New Roman" w:eastAsia="Times New Roman" w:hAnsi="Times New Roman" w:cs="Times New Roman"/>
          <w:sz w:val="24"/>
          <w:szCs w:val="24"/>
        </w:rPr>
        <w:t xml:space="preserve"> por la creación de asociación de</w:t>
      </w:r>
      <w:r>
        <w:rPr>
          <w:rFonts w:ascii="Times New Roman" w:eastAsia="Times New Roman" w:hAnsi="Times New Roman" w:cs="Times New Roman"/>
          <w:sz w:val="24"/>
          <w:szCs w:val="24"/>
        </w:rPr>
        <w:t xml:space="preserve"> empresas a nivel europeo. Revisión en profundidad de los programas existentes a nivel europeo. En el marco actual de industria de defensa, el EDIP se han creado los SEAP, consorcios de pequeñas compras entre unos pocos Estados para un problema concreto. T</w:t>
      </w:r>
      <w:r>
        <w:rPr>
          <w:rFonts w:ascii="Times New Roman" w:eastAsia="Times New Roman" w:hAnsi="Times New Roman" w:cs="Times New Roman"/>
          <w:sz w:val="24"/>
          <w:szCs w:val="24"/>
        </w:rPr>
        <w:t>enemos un sistema de incentivos que en ocasiones beneficia a los propios Estados individualmente. Recomendamos tomar inspiración en sus consorcios SEAP para formas jurídicas específicas que permitan y fomenten la creación de asociaciones de empresas de Est</w:t>
      </w:r>
      <w:r>
        <w:rPr>
          <w:rFonts w:ascii="Times New Roman" w:eastAsia="Times New Roman" w:hAnsi="Times New Roman" w:cs="Times New Roman"/>
          <w:sz w:val="24"/>
          <w:szCs w:val="24"/>
        </w:rPr>
        <w:t>ados Miembro, especialmente pequeñas y medianas empresas dentro de una misma cadena de producción. Estas asociaciones tendrán subvenciones preferentes en los mecanismos ya existentes como los EDIP</w:t>
      </w:r>
    </w:p>
    <w:p w14:paraId="00000082" w14:textId="77777777" w:rsidR="002678B4" w:rsidRDefault="002678B4">
      <w:pPr>
        <w:ind w:left="720"/>
        <w:rPr>
          <w:rFonts w:ascii="Times New Roman" w:eastAsia="Times New Roman" w:hAnsi="Times New Roman" w:cs="Times New Roman"/>
          <w:sz w:val="24"/>
          <w:szCs w:val="24"/>
        </w:rPr>
      </w:pPr>
    </w:p>
    <w:p w14:paraId="00000083" w14:textId="77777777" w:rsidR="002678B4" w:rsidRDefault="009A7F7B">
      <w:pPr>
        <w:numPr>
          <w:ilvl w:val="0"/>
          <w:numId w:val="2"/>
        </w:num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Prioriza</w:t>
      </w:r>
      <w:r>
        <w:rPr>
          <w:rFonts w:ascii="Times New Roman" w:eastAsia="Times New Roman" w:hAnsi="Times New Roman" w:cs="Times New Roman"/>
          <w:sz w:val="24"/>
          <w:szCs w:val="24"/>
        </w:rPr>
        <w:t xml:space="preserve"> la inversión pública en una combinación de energí</w:t>
      </w:r>
      <w:r>
        <w:rPr>
          <w:rFonts w:ascii="Times New Roman" w:eastAsia="Times New Roman" w:hAnsi="Times New Roman" w:cs="Times New Roman"/>
          <w:sz w:val="24"/>
          <w:szCs w:val="24"/>
        </w:rPr>
        <w:t>as renovables y energía nuclear, almacenamiento energético, modernización de las redes eléctricas y eficiencia energética, con el objetivo de reducir la dependencia de combustibles importados y garantizar un suministro energético asequible y sostenible. As</w:t>
      </w:r>
      <w:r>
        <w:rPr>
          <w:rFonts w:ascii="Times New Roman" w:eastAsia="Times New Roman" w:hAnsi="Times New Roman" w:cs="Times New Roman"/>
          <w:sz w:val="24"/>
          <w:szCs w:val="24"/>
        </w:rPr>
        <w:t xml:space="preserve">imismo, promover la inversión en investigación y tecnologías limpias, garantizando el cumplimiento de las normas ambientales y la transparencia en el uso de los fondos públicos siendo evaluado mediante auditorías por el Tribunal de cuentas. </w:t>
      </w:r>
    </w:p>
    <w:p w14:paraId="00000084" w14:textId="77777777" w:rsidR="002678B4" w:rsidRDefault="002678B4">
      <w:pPr>
        <w:spacing w:line="288" w:lineRule="auto"/>
        <w:jc w:val="both"/>
        <w:rPr>
          <w:rFonts w:ascii="Times New Roman" w:eastAsia="Times New Roman" w:hAnsi="Times New Roman" w:cs="Times New Roman"/>
          <w:sz w:val="24"/>
          <w:szCs w:val="24"/>
        </w:rPr>
      </w:pPr>
    </w:p>
    <w:p w14:paraId="00000085" w14:textId="77777777" w:rsidR="002678B4" w:rsidRDefault="009A7F7B">
      <w:pPr>
        <w:numPr>
          <w:ilvl w:val="0"/>
          <w:numId w:val="2"/>
        </w:num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Destaca</w:t>
      </w:r>
      <w:r>
        <w:rPr>
          <w:rFonts w:ascii="Times New Roman" w:eastAsia="Times New Roman" w:hAnsi="Times New Roman" w:cs="Times New Roman"/>
          <w:sz w:val="24"/>
          <w:szCs w:val="24"/>
        </w:rPr>
        <w:t xml:space="preserve"> la ne</w:t>
      </w:r>
      <w:r>
        <w:rPr>
          <w:rFonts w:ascii="Times New Roman" w:eastAsia="Times New Roman" w:hAnsi="Times New Roman" w:cs="Times New Roman"/>
          <w:sz w:val="24"/>
          <w:szCs w:val="24"/>
        </w:rPr>
        <w:t xml:space="preserve">cesidad de evaluar de forma transparente los costes económicos, los riesgos ambientales, la gestión de residuos y las dependencias de suministro asociadas a las distintas fuentes de energía, incluida la nuclear. </w:t>
      </w:r>
    </w:p>
    <w:p w14:paraId="00000086" w14:textId="77777777" w:rsidR="002678B4" w:rsidRDefault="002678B4">
      <w:pPr>
        <w:spacing w:line="288" w:lineRule="auto"/>
        <w:jc w:val="both"/>
        <w:rPr>
          <w:rFonts w:ascii="Times New Roman" w:eastAsia="Times New Roman" w:hAnsi="Times New Roman" w:cs="Times New Roman"/>
          <w:sz w:val="24"/>
          <w:szCs w:val="24"/>
        </w:rPr>
      </w:pPr>
    </w:p>
    <w:p w14:paraId="00000087" w14:textId="77777777" w:rsidR="002678B4" w:rsidRDefault="009A7F7B">
      <w:pPr>
        <w:numPr>
          <w:ilvl w:val="0"/>
          <w:numId w:val="2"/>
        </w:num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Promueve </w:t>
      </w:r>
      <w:r>
        <w:rPr>
          <w:rFonts w:ascii="Times New Roman" w:eastAsia="Times New Roman" w:hAnsi="Times New Roman" w:cs="Times New Roman"/>
          <w:sz w:val="24"/>
          <w:szCs w:val="24"/>
        </w:rPr>
        <w:t>una adopción rápida del paquete Ó</w:t>
      </w:r>
      <w:r>
        <w:rPr>
          <w:rFonts w:ascii="Times New Roman" w:eastAsia="Times New Roman" w:hAnsi="Times New Roman" w:cs="Times New Roman"/>
          <w:sz w:val="24"/>
          <w:szCs w:val="24"/>
        </w:rPr>
        <w:t xml:space="preserve">mnibus y una interpretación por parte de la Unión Europea en el que recomiende a los Estados Miembros criterios específicos de adjudicación de licencias generales y reducción de plazos administrativos para empresas que los cumplan. </w:t>
      </w:r>
    </w:p>
    <w:p w14:paraId="00000088" w14:textId="77777777" w:rsidR="002678B4" w:rsidRDefault="002678B4">
      <w:pPr>
        <w:spacing w:line="288" w:lineRule="auto"/>
        <w:ind w:left="720"/>
        <w:jc w:val="both"/>
        <w:rPr>
          <w:rFonts w:ascii="Times New Roman" w:eastAsia="Times New Roman" w:hAnsi="Times New Roman" w:cs="Times New Roman"/>
          <w:sz w:val="24"/>
          <w:szCs w:val="24"/>
        </w:rPr>
      </w:pPr>
    </w:p>
    <w:p w14:paraId="00000089" w14:textId="77777777" w:rsidR="002678B4" w:rsidRDefault="009A7F7B">
      <w:pPr>
        <w:numPr>
          <w:ilvl w:val="0"/>
          <w:numId w:val="2"/>
        </w:num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Anima</w:t>
      </w:r>
      <w:r>
        <w:rPr>
          <w:rFonts w:ascii="Times New Roman" w:eastAsia="Times New Roman" w:hAnsi="Times New Roman" w:cs="Times New Roman"/>
          <w:sz w:val="24"/>
          <w:szCs w:val="24"/>
        </w:rPr>
        <w:t xml:space="preserve"> a simplificar lo</w:t>
      </w:r>
      <w:r>
        <w:rPr>
          <w:rFonts w:ascii="Times New Roman" w:eastAsia="Times New Roman" w:hAnsi="Times New Roman" w:cs="Times New Roman"/>
          <w:sz w:val="24"/>
          <w:szCs w:val="24"/>
        </w:rPr>
        <w:t>s procedimientos administrativos que dificultan la cooperación industrial entre los Estados miembros, siempre que se mantengan las garantías fundamentales en materia laboral, ambiental y presupuestaria. Asimismo, solicita que las inversiones públicas desti</w:t>
      </w:r>
      <w:r>
        <w:rPr>
          <w:rFonts w:ascii="Times New Roman" w:eastAsia="Times New Roman" w:hAnsi="Times New Roman" w:cs="Times New Roman"/>
          <w:sz w:val="24"/>
          <w:szCs w:val="24"/>
        </w:rPr>
        <w:t>nadas a la industria de defensa estén sujetas a criterios transparentes, mecanismos de supervisión y evaluaciones periódicas de resultados. Aceleración de permisos pero manteniendo su rigurosidad, generar interconexiones mediante ventanilla única prueba de</w:t>
      </w:r>
      <w:r>
        <w:rPr>
          <w:rFonts w:ascii="Times New Roman" w:eastAsia="Times New Roman" w:hAnsi="Times New Roman" w:cs="Times New Roman"/>
          <w:sz w:val="24"/>
          <w:szCs w:val="24"/>
        </w:rPr>
        <w:t xml:space="preserve"> competitividad. Finalmente, destaca la necesidad de que la aceleración de los procedimientos no implique una reducción injustificada de los controles democráticos ni de la protección de los trabajadores.</w:t>
      </w:r>
    </w:p>
    <w:p w14:paraId="0000008A" w14:textId="77777777" w:rsidR="002678B4" w:rsidRDefault="002678B4">
      <w:pPr>
        <w:spacing w:line="288" w:lineRule="auto"/>
        <w:ind w:left="720"/>
        <w:jc w:val="both"/>
        <w:rPr>
          <w:rFonts w:ascii="Times New Roman" w:eastAsia="Times New Roman" w:hAnsi="Times New Roman" w:cs="Times New Roman"/>
          <w:sz w:val="24"/>
          <w:szCs w:val="24"/>
        </w:rPr>
      </w:pPr>
    </w:p>
    <w:p w14:paraId="0000008B" w14:textId="77777777" w:rsidR="002678B4" w:rsidRDefault="009A7F7B">
      <w:pPr>
        <w:numPr>
          <w:ilvl w:val="0"/>
          <w:numId w:val="2"/>
        </w:num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Propone</w:t>
      </w:r>
      <w:r>
        <w:rPr>
          <w:rFonts w:ascii="Times New Roman" w:eastAsia="Times New Roman" w:hAnsi="Times New Roman" w:cs="Times New Roman"/>
          <w:sz w:val="24"/>
          <w:szCs w:val="24"/>
        </w:rPr>
        <w:t xml:space="preserve"> aumentar la inversión en nuestra industria y en la que no podamos ser independientes, contar con socios que compartan nuestros valores europeos y respeten la carta de derechos humanos en la mayor medida de lo posible, de lo contrario, proponer su suspensi</w:t>
      </w:r>
      <w:r>
        <w:rPr>
          <w:rFonts w:ascii="Times New Roman" w:eastAsia="Times New Roman" w:hAnsi="Times New Roman" w:cs="Times New Roman"/>
          <w:sz w:val="24"/>
          <w:szCs w:val="24"/>
        </w:rPr>
        <w:t>ón.</w:t>
      </w:r>
    </w:p>
    <w:p w14:paraId="0000008C" w14:textId="77777777" w:rsidR="002678B4" w:rsidRDefault="002678B4">
      <w:pPr>
        <w:ind w:left="720"/>
        <w:rPr>
          <w:rFonts w:ascii="Times New Roman" w:eastAsia="Times New Roman" w:hAnsi="Times New Roman" w:cs="Times New Roman"/>
          <w:sz w:val="24"/>
          <w:szCs w:val="24"/>
        </w:rPr>
      </w:pPr>
    </w:p>
    <w:p w14:paraId="0000008D" w14:textId="77777777" w:rsidR="002678B4" w:rsidRDefault="009A7F7B">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Solicita</w:t>
      </w:r>
      <w:r>
        <w:rPr>
          <w:rFonts w:ascii="Times New Roman" w:eastAsia="Times New Roman" w:hAnsi="Times New Roman" w:cs="Times New Roman"/>
          <w:sz w:val="24"/>
          <w:szCs w:val="24"/>
        </w:rPr>
        <w:t xml:space="preserve"> la reducción de la dependencia tecnológica y energética a la vez que fomentamos la innovación dentro de nuestras fronteras desarrollando alternativas europeas a las que se les de prioridad en comunicaciones, espacio y ciberseguridad a través </w:t>
      </w:r>
      <w:r>
        <w:rPr>
          <w:rFonts w:ascii="Times New Roman" w:eastAsia="Times New Roman" w:hAnsi="Times New Roman" w:cs="Times New Roman"/>
          <w:sz w:val="24"/>
          <w:szCs w:val="24"/>
        </w:rPr>
        <w:t xml:space="preserve">de la financiación de startups, pymes garantizando unas  normas comunes de certificación; acuerdos de suministro diversificados y revisión de riesgos de seguridad. </w:t>
      </w:r>
    </w:p>
    <w:p w14:paraId="0000008E" w14:textId="77777777" w:rsidR="002678B4" w:rsidRDefault="002678B4">
      <w:pPr>
        <w:ind w:left="720"/>
        <w:jc w:val="both"/>
        <w:rPr>
          <w:rFonts w:ascii="Times New Roman" w:eastAsia="Times New Roman" w:hAnsi="Times New Roman" w:cs="Times New Roman"/>
          <w:sz w:val="24"/>
          <w:szCs w:val="24"/>
        </w:rPr>
      </w:pPr>
    </w:p>
    <w:p w14:paraId="0000008F" w14:textId="77777777" w:rsidR="002678B4" w:rsidRDefault="009A7F7B">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reforzar el apoyo a los hogares vulnerables y a las pequeñas y medianas empresas dura</w:t>
      </w:r>
      <w:r>
        <w:rPr>
          <w:rFonts w:ascii="Times New Roman" w:eastAsia="Times New Roman" w:hAnsi="Times New Roman" w:cs="Times New Roman"/>
          <w:sz w:val="24"/>
          <w:szCs w:val="24"/>
        </w:rPr>
        <w:t>nte la transición energética, garantizando que su coste no recaiga desproporcionadamente sobre la ciudadanía.</w:t>
      </w:r>
    </w:p>
    <w:p w14:paraId="00000090" w14:textId="77777777" w:rsidR="002678B4" w:rsidRDefault="002678B4">
      <w:pPr>
        <w:ind w:left="720"/>
        <w:jc w:val="both"/>
        <w:rPr>
          <w:rFonts w:ascii="Times New Roman" w:eastAsia="Times New Roman" w:hAnsi="Times New Roman" w:cs="Times New Roman"/>
          <w:sz w:val="24"/>
          <w:szCs w:val="24"/>
        </w:rPr>
      </w:pPr>
    </w:p>
    <w:p w14:paraId="00000091" w14:textId="77777777" w:rsidR="002678B4" w:rsidRDefault="009A7F7B">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Insta</w:t>
      </w:r>
      <w:r>
        <w:rPr>
          <w:rFonts w:ascii="Times New Roman" w:eastAsia="Times New Roman" w:hAnsi="Times New Roman" w:cs="Times New Roman"/>
          <w:sz w:val="24"/>
          <w:szCs w:val="24"/>
        </w:rPr>
        <w:t xml:space="preserve"> a mejorar el desarrollo de talento europeo a través de becas de fomento a universidades europeas que colaboren con pequeñas y medianas empr</w:t>
      </w:r>
      <w:r>
        <w:rPr>
          <w:rFonts w:ascii="Times New Roman" w:eastAsia="Times New Roman" w:hAnsi="Times New Roman" w:cs="Times New Roman"/>
          <w:sz w:val="24"/>
          <w:szCs w:val="24"/>
        </w:rPr>
        <w:t>esas de innovación. Con esto solicitamos que se financie la innovación en tecnología I+D+i y sistemas de Inteligencia Artificial, especialmente para la creación de un escudo unitario de ciberseguridad en la nube para proteger nuestras patentes y transparen</w:t>
      </w:r>
      <w:r>
        <w:rPr>
          <w:rFonts w:ascii="Times New Roman" w:eastAsia="Times New Roman" w:hAnsi="Times New Roman" w:cs="Times New Roman"/>
          <w:sz w:val="24"/>
          <w:szCs w:val="24"/>
        </w:rPr>
        <w:t>cia en ejecución de fondos. Garantizando una industria de marca europea independiente de potencias como China, con las que se podría negociar con nuevos productos de industria innovadora.</w:t>
      </w:r>
    </w:p>
    <w:p w14:paraId="00000092" w14:textId="77777777" w:rsidR="002678B4" w:rsidRDefault="002678B4">
      <w:pPr>
        <w:ind w:left="720"/>
        <w:jc w:val="both"/>
        <w:rPr>
          <w:rFonts w:ascii="Times New Roman" w:eastAsia="Times New Roman" w:hAnsi="Times New Roman" w:cs="Times New Roman"/>
          <w:sz w:val="24"/>
          <w:szCs w:val="24"/>
        </w:rPr>
      </w:pPr>
    </w:p>
    <w:p w14:paraId="00000093" w14:textId="77777777" w:rsidR="002678B4" w:rsidRDefault="009A7F7B">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Pide</w:t>
      </w:r>
      <w:r>
        <w:rPr>
          <w:rFonts w:ascii="Times New Roman" w:eastAsia="Times New Roman" w:hAnsi="Times New Roman" w:cs="Times New Roman"/>
          <w:sz w:val="24"/>
          <w:szCs w:val="24"/>
        </w:rPr>
        <w:t xml:space="preserve"> garantizar una prueba de competitividad y una evaluación de im</w:t>
      </w:r>
      <w:r>
        <w:rPr>
          <w:rFonts w:ascii="Times New Roman" w:eastAsia="Times New Roman" w:hAnsi="Times New Roman" w:cs="Times New Roman"/>
          <w:sz w:val="24"/>
          <w:szCs w:val="24"/>
        </w:rPr>
        <w:t>pacto sobre las pymes.</w:t>
      </w:r>
    </w:p>
    <w:p w14:paraId="00000094" w14:textId="77777777" w:rsidR="002678B4" w:rsidRDefault="002678B4">
      <w:pPr>
        <w:jc w:val="both"/>
        <w:rPr>
          <w:rFonts w:ascii="Times New Roman" w:eastAsia="Times New Roman" w:hAnsi="Times New Roman" w:cs="Times New Roman"/>
          <w:sz w:val="24"/>
          <w:szCs w:val="24"/>
        </w:rPr>
      </w:pPr>
    </w:p>
    <w:p w14:paraId="00000095" w14:textId="77777777" w:rsidR="002678B4" w:rsidRDefault="009A7F7B">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Plantea</w:t>
      </w:r>
      <w:r>
        <w:rPr>
          <w:rFonts w:ascii="Times New Roman" w:eastAsia="Times New Roman" w:hAnsi="Times New Roman" w:cs="Times New Roman"/>
          <w:sz w:val="24"/>
          <w:szCs w:val="24"/>
        </w:rPr>
        <w:t xml:space="preserve"> que las medidas de política industrial y energética respeten la salud pública, los derechos laborales, la privacidad y la protección de datos personales, así como la seguridad de los consumidores y la protección del medioamb</w:t>
      </w:r>
      <w:r>
        <w:rPr>
          <w:rFonts w:ascii="Times New Roman" w:eastAsia="Times New Roman" w:hAnsi="Times New Roman" w:cs="Times New Roman"/>
          <w:sz w:val="24"/>
          <w:szCs w:val="24"/>
        </w:rPr>
        <w:t xml:space="preserve">iente. Asimismo, promover la transparencia y el control democrático en la asignación de fondos públicos, prevenir que los costes de la transición recaigan desproporcionadamente sobre los </w:t>
      </w:r>
      <w:r>
        <w:rPr>
          <w:rFonts w:ascii="Times New Roman" w:eastAsia="Times New Roman" w:hAnsi="Times New Roman" w:cs="Times New Roman"/>
          <w:sz w:val="24"/>
          <w:szCs w:val="24"/>
        </w:rPr>
        <w:lastRenderedPageBreak/>
        <w:t>hogares vulnerables y las pequeñas y medianas empresas, y asegurar qu</w:t>
      </w:r>
      <w:r>
        <w:rPr>
          <w:rFonts w:ascii="Times New Roman" w:eastAsia="Times New Roman" w:hAnsi="Times New Roman" w:cs="Times New Roman"/>
          <w:sz w:val="24"/>
          <w:szCs w:val="24"/>
        </w:rPr>
        <w:t>e la innovación tecnológica se desarrolle respetando los derechos fundamentales y el interés general.</w:t>
      </w:r>
    </w:p>
    <w:p w14:paraId="00000096" w14:textId="77777777" w:rsidR="002678B4" w:rsidRDefault="002678B4">
      <w:pPr>
        <w:jc w:val="both"/>
        <w:rPr>
          <w:rFonts w:ascii="Times New Roman" w:eastAsia="Times New Roman" w:hAnsi="Times New Roman" w:cs="Times New Roman"/>
          <w:sz w:val="24"/>
          <w:szCs w:val="24"/>
        </w:rPr>
      </w:pPr>
    </w:p>
    <w:p w14:paraId="00000097" w14:textId="77777777" w:rsidR="002678B4" w:rsidRDefault="009A7F7B">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Solicita</w:t>
      </w:r>
      <w:r>
        <w:rPr>
          <w:rFonts w:ascii="Times New Roman" w:eastAsia="Times New Roman" w:hAnsi="Times New Roman" w:cs="Times New Roman"/>
          <w:sz w:val="24"/>
          <w:szCs w:val="24"/>
        </w:rPr>
        <w:t xml:space="preserve"> impulsar el Fondo Europeo de Competitividad que pretende dar autonomía a la UE mediante dos principales vías de actuación, diversificar la impor</w:t>
      </w:r>
      <w:r>
        <w:rPr>
          <w:rFonts w:ascii="Times New Roman" w:eastAsia="Times New Roman" w:hAnsi="Times New Roman" w:cs="Times New Roman"/>
          <w:sz w:val="24"/>
          <w:szCs w:val="24"/>
        </w:rPr>
        <w:t>tación de materiales clave como las tierras raras para que las importaciones no superen el 65% de un mismo país. Por otro lado busca orientar las inversiones europeas en los siguientes ámbitos:</w:t>
      </w:r>
    </w:p>
    <w:p w14:paraId="00000098" w14:textId="77777777" w:rsidR="002678B4" w:rsidRDefault="009A7F7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Acto de tierras raras.</w:t>
      </w:r>
    </w:p>
    <w:p w14:paraId="00000099" w14:textId="77777777" w:rsidR="002678B4" w:rsidRDefault="009A7F7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 Acto de industria de cero impact</w:t>
      </w:r>
      <w:r>
        <w:rPr>
          <w:rFonts w:ascii="Times New Roman" w:eastAsia="Times New Roman" w:hAnsi="Times New Roman" w:cs="Times New Roman"/>
          <w:sz w:val="24"/>
          <w:szCs w:val="24"/>
        </w:rPr>
        <w:t>o medioambiental.</w:t>
      </w:r>
    </w:p>
    <w:p w14:paraId="0000009A" w14:textId="77777777" w:rsidR="002678B4" w:rsidRDefault="009A7F7B">
      <w:pPr>
        <w:ind w:left="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iii. Producción de cercanía, industria “Made in Europe”.</w:t>
      </w:r>
    </w:p>
    <w:p w14:paraId="0000009B" w14:textId="77777777" w:rsidR="002678B4" w:rsidRDefault="002678B4">
      <w:pPr>
        <w:pBdr>
          <w:top w:val="nil"/>
          <w:left w:val="nil"/>
          <w:bottom w:val="nil"/>
          <w:right w:val="nil"/>
          <w:between w:val="nil"/>
        </w:pBdr>
        <w:spacing w:before="240" w:after="240"/>
        <w:jc w:val="center"/>
        <w:rPr>
          <w:rFonts w:ascii="Times New Roman" w:eastAsia="Times New Roman" w:hAnsi="Times New Roman" w:cs="Times New Roman"/>
          <w:b/>
          <w:bCs/>
          <w:sz w:val="30"/>
          <w:szCs w:val="30"/>
        </w:rPr>
      </w:pPr>
    </w:p>
    <w:sectPr w:rsidR="002678B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507D" w14:textId="77777777" w:rsidR="009A7F7B" w:rsidRDefault="009A7F7B">
      <w:pPr>
        <w:spacing w:line="240" w:lineRule="auto"/>
      </w:pPr>
      <w:r>
        <w:separator/>
      </w:r>
    </w:p>
  </w:endnote>
  <w:endnote w:type="continuationSeparator" w:id="0">
    <w:p w14:paraId="7D46198C" w14:textId="77777777" w:rsidR="009A7F7B" w:rsidRDefault="009A7F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D1D3061-7FD2-4694-A58F-A766DB15ADCB}"/>
  </w:font>
  <w:font w:name="Cambria">
    <w:panose1 w:val="02040503050406030204"/>
    <w:charset w:val="00"/>
    <w:family w:val="roman"/>
    <w:pitch w:val="variable"/>
    <w:sig w:usb0="E00006FF" w:usb1="420024FF" w:usb2="02000000" w:usb3="00000000" w:csb0="0000019F" w:csb1="00000000"/>
    <w:embedRegular r:id="rId2" w:fontKey="{830FFEC5-04C0-483B-96DC-264A56CD664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FC47A" w14:textId="77777777" w:rsidR="009A7F7B" w:rsidRDefault="009A7F7B">
      <w:pPr>
        <w:spacing w:line="240" w:lineRule="auto"/>
      </w:pPr>
      <w:r>
        <w:separator/>
      </w:r>
    </w:p>
  </w:footnote>
  <w:footnote w:type="continuationSeparator" w:id="0">
    <w:p w14:paraId="2DB8F890" w14:textId="77777777" w:rsidR="009A7F7B" w:rsidRDefault="009A7F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C" w14:textId="77777777" w:rsidR="002678B4" w:rsidRDefault="009A7F7B">
    <w:pPr>
      <w:rPr>
        <w:rFonts w:ascii="Times New Roman" w:eastAsia="Times New Roman" w:hAnsi="Times New Roman" w:cs="Times New Roman"/>
        <w:b/>
        <w:bCs/>
      </w:rPr>
    </w:pPr>
    <w:r>
      <w:rPr>
        <w:rFonts w:ascii="Times New Roman" w:eastAsia="Times New Roman" w:hAnsi="Times New Roman" w:cs="Times New Roman"/>
        <w:b/>
        <w:bCs/>
      </w:rPr>
      <w:t xml:space="preserve">16.10.26                           </w:t>
    </w:r>
    <w:r>
      <w:rPr>
        <w:rFonts w:ascii="Times New Roman" w:eastAsia="Times New Roman" w:hAnsi="Times New Roman" w:cs="Times New Roman"/>
        <w:b/>
        <w:bCs/>
      </w:rPr>
      <w:tab/>
      <w:t>Diario Oficial de la Unión Europea</w:t>
    </w:r>
  </w:p>
  <w:p w14:paraId="0000009D" w14:textId="77777777" w:rsidR="002678B4" w:rsidRDefault="002678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016E"/>
    <w:multiLevelType w:val="multilevel"/>
    <w:tmpl w:val="0568B9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EB21A5B"/>
    <w:multiLevelType w:val="multilevel"/>
    <w:tmpl w:val="9DC8A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8B4"/>
    <w:rsid w:val="00077CB0"/>
    <w:rsid w:val="002678B4"/>
    <w:rsid w:val="0049075D"/>
    <w:rsid w:val="006A4812"/>
    <w:rsid w:val="00793CD1"/>
    <w:rsid w:val="008720D4"/>
    <w:rsid w:val="00950D21"/>
    <w:rsid w:val="009A7F7B"/>
    <w:rsid w:val="00DD0C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E0F5"/>
  <w15:docId w15:val="{28053EA0-9461-4629-AAE2-BD3FE54D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950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14</Pages>
  <Words>5014</Words>
  <Characters>27582</Characters>
  <Application>Microsoft Office Word</Application>
  <DocSecurity>0</DocSecurity>
  <Lines>229</Lines>
  <Paragraphs>65</Paragraphs>
  <ScaleCrop>false</ScaleCrop>
  <Company/>
  <LinksUpToDate>false</LinksUpToDate>
  <CharactersWithSpaces>32531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Gema</cp:lastModifiedBy>
  <cp:revision>16</cp:revision>
  <dcterms:created xsi:type="dcterms:W3CDTF">2026-10-16T09:05:00Z</dcterms:created>
  <dcterms:modified xsi:type="dcterms:W3CDTF">2026-10-16T09:33:00Z</dcterms:modified>
</cp:coreProperties>
</file>